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43F0" w14:textId="50AAEC75" w:rsidR="00353542" w:rsidRDefault="00017DEC" w:rsidP="00802133">
      <w:r>
        <w:t>L</w:t>
      </w:r>
      <w:r w:rsidR="00896A57">
        <w:t>etter to</w:t>
      </w:r>
      <w:r>
        <w:t xml:space="preserve"> be sent to</w:t>
      </w:r>
      <w:r w:rsidR="00896A57">
        <w:t xml:space="preserve"> </w:t>
      </w:r>
      <w:r>
        <w:t xml:space="preserve">appropriations committee and subcommittee </w:t>
      </w:r>
      <w:r w:rsidR="00896A57">
        <w:t>leadership</w:t>
      </w:r>
    </w:p>
    <w:p w14:paraId="12D904D3" w14:textId="484C1CAE" w:rsidR="002D4F4A" w:rsidRDefault="00532055" w:rsidP="002D4F4A">
      <w:r w:rsidRPr="00532055">
        <w:t xml:space="preserve">As </w:t>
      </w:r>
      <w:r w:rsidR="3D2E3F3F">
        <w:t xml:space="preserve">organizations working at the </w:t>
      </w:r>
      <w:r w:rsidR="3A3F3754">
        <w:t>local</w:t>
      </w:r>
      <w:r w:rsidR="00C57816" w:rsidRPr="002B2B37">
        <w:t xml:space="preserve">, state, and national </w:t>
      </w:r>
      <w:r w:rsidR="3A21B087">
        <w:t>levels</w:t>
      </w:r>
      <w:r w:rsidR="00BF75C4">
        <w:t xml:space="preserve"> </w:t>
      </w:r>
      <w:r w:rsidRPr="00532055">
        <w:t xml:space="preserve">across housing, disability, child welfare, justice, and aging, </w:t>
      </w:r>
      <w:r w:rsidR="25ADD368">
        <w:t xml:space="preserve">we are </w:t>
      </w:r>
      <w:r w:rsidR="003A3DF6">
        <w:t>committed</w:t>
      </w:r>
      <w:r w:rsidR="25ADD368">
        <w:t xml:space="preserve"> to ensuring that individuals and families with complex health needs and</w:t>
      </w:r>
      <w:r w:rsidR="026EF766">
        <w:t xml:space="preserve"> </w:t>
      </w:r>
      <w:r w:rsidR="25ADD368">
        <w:t>disabilities can secure and sustain stable housing</w:t>
      </w:r>
      <w:r w:rsidRPr="00532055">
        <w:t xml:space="preserve">. We urge Congress to </w:t>
      </w:r>
      <w:r>
        <w:t>sustain</w:t>
      </w:r>
      <w:r w:rsidRPr="00532055">
        <w:t xml:space="preserve"> and strengthen targeted federal investments </w:t>
      </w:r>
      <w:r w:rsidR="65E110DB">
        <w:t>through</w:t>
      </w:r>
      <w:r w:rsidRPr="00532055">
        <w:t xml:space="preserve"> HUD, Treasury, DOJ, and HHS</w:t>
      </w:r>
      <w:r w:rsidR="5A39EC6B">
        <w:t xml:space="preserve"> to support strong communities</w:t>
      </w:r>
      <w:r w:rsidRPr="00532055">
        <w:t>.</w:t>
      </w:r>
      <w:r w:rsidR="009826FD" w:rsidRPr="009826FD">
        <w:t xml:space="preserve"> </w:t>
      </w:r>
    </w:p>
    <w:p w14:paraId="487BD4A2" w14:textId="3D1B7D5A" w:rsidR="00532055" w:rsidRDefault="00E708C6" w:rsidP="00CD40D5">
      <w:pPr>
        <w:spacing w:after="0"/>
      </w:pPr>
      <w:r w:rsidRPr="00E708C6">
        <w:t xml:space="preserve">Sustained federal investment in housing resources is essential to </w:t>
      </w:r>
      <w:r w:rsidR="00A221F7" w:rsidRPr="00A221F7">
        <w:t xml:space="preserve">completing </w:t>
      </w:r>
      <w:r w:rsidR="78BA2643">
        <w:t xml:space="preserve">affordable housing </w:t>
      </w:r>
      <w:r w:rsidR="24A78F08">
        <w:t>developments</w:t>
      </w:r>
      <w:r w:rsidR="00A221F7" w:rsidRPr="00A221F7">
        <w:t xml:space="preserve"> already underway</w:t>
      </w:r>
      <w:r w:rsidRPr="00E708C6">
        <w:t xml:space="preserve">, encouraging continued private sector engagement, and fostering landlord participation in leasing to individuals with complex needs. These investments </w:t>
      </w:r>
      <w:r w:rsidR="00D43EF8">
        <w:t xml:space="preserve">provide </w:t>
      </w:r>
      <w:r w:rsidR="004E2B82">
        <w:t xml:space="preserve">a </w:t>
      </w:r>
      <w:r w:rsidR="00A221F7">
        <w:t xml:space="preserve">critical </w:t>
      </w:r>
      <w:r w:rsidR="004E2B82" w:rsidRPr="004E2B82">
        <w:t>foundation that enables communities to leverage local, state, and private funding to address homelessness through cost-effective solutions that promote housing stability and long-term success.</w:t>
      </w:r>
      <w:r w:rsidR="004E2B82">
        <w:t xml:space="preserve"> </w:t>
      </w:r>
    </w:p>
    <w:p w14:paraId="77EF07D3" w14:textId="5ED5C716" w:rsidR="00CD40D5" w:rsidRPr="00D82232" w:rsidRDefault="00CD40D5" w:rsidP="00D82232">
      <w:pPr>
        <w:pStyle w:val="Heading3"/>
        <w:spacing w:after="0"/>
        <w:rPr>
          <w:b/>
          <w:bCs/>
          <w:color w:val="auto"/>
          <w:sz w:val="24"/>
          <w:szCs w:val="24"/>
        </w:rPr>
      </w:pPr>
      <w:r w:rsidRPr="00D82232">
        <w:rPr>
          <w:b/>
          <w:bCs/>
          <w:color w:val="auto"/>
          <w:sz w:val="24"/>
          <w:szCs w:val="24"/>
        </w:rPr>
        <w:t xml:space="preserve">Supportive Housing: </w:t>
      </w:r>
      <w:r w:rsidR="00DF6827" w:rsidRPr="00D82232">
        <w:rPr>
          <w:b/>
          <w:bCs/>
          <w:color w:val="auto"/>
          <w:sz w:val="24"/>
          <w:szCs w:val="24"/>
        </w:rPr>
        <w:t xml:space="preserve">Meeting Complex Disabilities with </w:t>
      </w:r>
      <w:r w:rsidR="001858A5" w:rsidRPr="00D82232">
        <w:rPr>
          <w:b/>
          <w:bCs/>
          <w:color w:val="auto"/>
          <w:sz w:val="24"/>
          <w:szCs w:val="24"/>
        </w:rPr>
        <w:t>Housing and Services</w:t>
      </w:r>
    </w:p>
    <w:p w14:paraId="4C96462D" w14:textId="539F0491" w:rsidR="00AB0942" w:rsidRDefault="00AB0942" w:rsidP="00AB0942">
      <w:r>
        <w:t xml:space="preserve">Supportive housing is an evidence-based, fiscally responsible solution that combines </w:t>
      </w:r>
      <w:r w:rsidR="00045569">
        <w:t>affordable</w:t>
      </w:r>
      <w:r>
        <w:t>, permanent housing with intensive support services to help individuals with complex health needs and disabilities achieve stability and independence. It is especially critical for older adults, youth</w:t>
      </w:r>
      <w:r w:rsidR="008200FB">
        <w:t xml:space="preserve"> exiting foster care</w:t>
      </w:r>
      <w:r>
        <w:t xml:space="preserve">, and others with </w:t>
      </w:r>
      <w:r w:rsidR="00266645">
        <w:t>long-term or chronic</w:t>
      </w:r>
      <w:r>
        <w:t xml:space="preserve"> disabilities who </w:t>
      </w:r>
      <w:r w:rsidR="00504F42">
        <w:t xml:space="preserve">face </w:t>
      </w:r>
      <w:r w:rsidR="00412078">
        <w:t xml:space="preserve">elevated risk </w:t>
      </w:r>
      <w:r>
        <w:t xml:space="preserve">of </w:t>
      </w:r>
      <w:r w:rsidR="00F77AC6">
        <w:t xml:space="preserve">episodic or long-term </w:t>
      </w:r>
      <w:r>
        <w:t xml:space="preserve">homelessness. By preventing unnecessary institutionalization, incarceration, shelter stays, and even premature death on the streets, supportive housing </w:t>
      </w:r>
      <w:r w:rsidR="00563BC7">
        <w:t>generate</w:t>
      </w:r>
      <w:r w:rsidR="00AF596F">
        <w:t>s</w:t>
      </w:r>
      <w:r w:rsidR="00563BC7">
        <w:t xml:space="preserve"> </w:t>
      </w:r>
      <w:r>
        <w:t xml:space="preserve">both </w:t>
      </w:r>
      <w:r w:rsidR="2B600391">
        <w:t>societal</w:t>
      </w:r>
      <w:r w:rsidR="00563BC7">
        <w:t xml:space="preserve"> and economic returns</w:t>
      </w:r>
      <w:r>
        <w:t>.</w:t>
      </w:r>
    </w:p>
    <w:p w14:paraId="02DDEAFD" w14:textId="199CCC5A" w:rsidR="008B0083" w:rsidRDefault="007A3F62" w:rsidP="004A2AD6">
      <w:r w:rsidRPr="007A3F62">
        <w:t>As housing costs continue to rise, the need for supportive housing has become even more urgent.</w:t>
      </w:r>
      <w:r>
        <w:t xml:space="preserve"> </w:t>
      </w:r>
      <w:r w:rsidR="004A2AD6" w:rsidRPr="004A2AD6">
        <w:t>Between 2020 and 2023, rents increased by approximately 28 percent nationwide</w:t>
      </w:r>
      <w:r w:rsidR="00BC7668">
        <w:rPr>
          <w:rStyle w:val="EndnoteReference"/>
        </w:rPr>
        <w:endnoteReference w:id="1"/>
      </w:r>
      <w:r w:rsidR="00BC7668">
        <w:t xml:space="preserve">. </w:t>
      </w:r>
      <w:r w:rsidR="004A2AD6" w:rsidRPr="004A2AD6">
        <w:t xml:space="preserve">This rise in housing costs is a well-documented </w:t>
      </w:r>
      <w:proofErr w:type="gramStart"/>
      <w:r w:rsidR="004A2AD6" w:rsidRPr="004A2AD6">
        <w:t>driver</w:t>
      </w:r>
      <w:proofErr w:type="gramEnd"/>
      <w:r w:rsidR="004A2AD6" w:rsidRPr="004A2AD6">
        <w:t xml:space="preserve"> of homelessness, particularly for individuals and families with limited incomes. </w:t>
      </w:r>
      <w:r w:rsidR="00361967">
        <w:t xml:space="preserve">According to both Zillow and the U.S. Government Accounting Office, </w:t>
      </w:r>
      <w:r w:rsidR="004A2AD6" w:rsidRPr="004A2AD6">
        <w:t xml:space="preserve">when median rent exceeds 32 percent of </w:t>
      </w:r>
      <w:r w:rsidR="00AC11DE">
        <w:t>area</w:t>
      </w:r>
      <w:r w:rsidR="004A2AD6" w:rsidRPr="004A2AD6">
        <w:t xml:space="preserve"> median income, homelessness tends to increase more rapidly. On average, a </w:t>
      </w:r>
      <w:r w:rsidR="006F1565">
        <w:t>$100</w:t>
      </w:r>
      <w:r w:rsidR="004A2AD6" w:rsidRPr="004A2AD6">
        <w:t xml:space="preserve"> increase in median rent is associated with a 5</w:t>
      </w:r>
      <w:r w:rsidR="006F1565">
        <w:t xml:space="preserve"> to </w:t>
      </w:r>
      <w:r w:rsidR="006C7BDC">
        <w:t>9</w:t>
      </w:r>
      <w:r w:rsidR="004A2AD6" w:rsidRPr="004A2AD6">
        <w:t xml:space="preserve"> percent increase in homelessness across the United States</w:t>
      </w:r>
      <w:r w:rsidR="00B47819">
        <w:rPr>
          <w:rStyle w:val="EndnoteReference"/>
        </w:rPr>
        <w:endnoteReference w:id="2"/>
      </w:r>
      <w:r w:rsidR="006C7BDC" w:rsidRPr="006C7BDC">
        <w:rPr>
          <w:vertAlign w:val="superscript"/>
        </w:rPr>
        <w:t>,</w:t>
      </w:r>
      <w:r w:rsidR="006C7BDC">
        <w:rPr>
          <w:rStyle w:val="EndnoteReference"/>
        </w:rPr>
        <w:endnoteReference w:id="3"/>
      </w:r>
      <w:r w:rsidR="00B47819">
        <w:t>.</w:t>
      </w:r>
      <w:r w:rsidR="004A2AD6" w:rsidRPr="004A2AD6">
        <w:t xml:space="preserve"> These findings underscore the urgent need for stable, affordable housing solutions like supportive housing, which not only prevent homelessness but also reduce reliance on costly crisis systems.</w:t>
      </w:r>
    </w:p>
    <w:p w14:paraId="6A074E1A" w14:textId="24032FC8" w:rsidR="00AB0942" w:rsidRDefault="00AB0942" w:rsidP="00AB0942">
      <w:r>
        <w:t>A national assessment</w:t>
      </w:r>
      <w:r w:rsidR="006F1565">
        <w:t xml:space="preserve"> by</w:t>
      </w:r>
      <w:r w:rsidR="004D31FB">
        <w:t xml:space="preserve"> </w:t>
      </w:r>
      <w:r w:rsidR="006F1565">
        <w:t>Corporation for Supportive Housing (CSH)</w:t>
      </w:r>
      <w:r>
        <w:t xml:space="preserve"> found that more than 1.125 million households across the country need supportive housing</w:t>
      </w:r>
      <w:r w:rsidR="005B7A5F">
        <w:rPr>
          <w:rStyle w:val="EndnoteReference"/>
        </w:rPr>
        <w:endnoteReference w:id="4"/>
      </w:r>
      <w:r>
        <w:t>. This population includes individuals and families experiencing chronic homelessness, people with disabilities, and those transitioning from institutional care settings such as hospitals, psychiatric facilities, nursing homes, correctional institutions, and foster care.</w:t>
      </w:r>
    </w:p>
    <w:p w14:paraId="5FDC1029" w14:textId="73CD35DB" w:rsidR="003F1D7C" w:rsidRDefault="003F1D7C" w:rsidP="00AB0942">
      <w:bookmarkStart w:id="0" w:name="_Hlk201141692"/>
      <w:bookmarkStart w:id="1" w:name="_Hlk201140255"/>
      <w:r w:rsidRPr="004920A8">
        <w:t>Supportive housing is intentionally non-time-limited, providing a stable environment where tenants can address complex health needs and disabilities</w:t>
      </w:r>
      <w:bookmarkEnd w:id="0"/>
      <w:r w:rsidRPr="004920A8">
        <w:t xml:space="preserve">. </w:t>
      </w:r>
      <w:bookmarkEnd w:id="1"/>
      <w:r w:rsidRPr="004920A8">
        <w:t>While many residents eventually transition to other housing, continued support is essential for those who require it</w:t>
      </w:r>
      <w:r w:rsidR="00D916B3">
        <w:t>.</w:t>
      </w:r>
      <w:r w:rsidRPr="004920A8">
        <w:t xml:space="preserve"> </w:t>
      </w:r>
    </w:p>
    <w:p w14:paraId="48BB9F6D" w14:textId="6FC84EB7" w:rsidR="00AB0942" w:rsidRDefault="00AB0942" w:rsidP="00AB0942">
      <w:r>
        <w:t xml:space="preserve">Addressing </w:t>
      </w:r>
      <w:r w:rsidR="003F1D7C">
        <w:t>these needs</w:t>
      </w:r>
      <w:r>
        <w:t xml:space="preserve"> calls for a coordinated, strategic investment approach that leverages public-private partnerships and aligns funding streams at the federal, state, and local levels. This includes capital to build and preserve housing, operating investments to maintain long-term affordability, and robust service funding to help residents achieve long-term success.</w:t>
      </w:r>
    </w:p>
    <w:p w14:paraId="68DAF237" w14:textId="77777777" w:rsidR="00532055" w:rsidRPr="00567CC0" w:rsidRDefault="00532055" w:rsidP="00532055">
      <w:pPr>
        <w:pStyle w:val="Heading3"/>
        <w:spacing w:after="0"/>
        <w:rPr>
          <w:rFonts w:eastAsiaTheme="minorHAnsi"/>
          <w:b/>
          <w:bCs/>
          <w:color w:val="auto"/>
          <w:sz w:val="24"/>
          <w:szCs w:val="24"/>
        </w:rPr>
      </w:pPr>
      <w:r w:rsidRPr="00410934">
        <w:rPr>
          <w:rFonts w:eastAsiaTheme="minorHAnsi"/>
          <w:b/>
          <w:bCs/>
          <w:color w:val="auto"/>
          <w:sz w:val="24"/>
          <w:szCs w:val="24"/>
        </w:rPr>
        <w:t>Federal Budget Request: Strategic Support for Cost-Effective Solutions</w:t>
      </w:r>
    </w:p>
    <w:p w14:paraId="28025157" w14:textId="3566FACD" w:rsidR="008B0719" w:rsidRDefault="0097551D" w:rsidP="008B0719">
      <w:r w:rsidRPr="000A6AE1">
        <w:t xml:space="preserve">Federal funding serves as the central </w:t>
      </w:r>
      <w:r>
        <w:t xml:space="preserve">cornerstone </w:t>
      </w:r>
      <w:r w:rsidR="008B0719">
        <w:t>to the supportive housing model</w:t>
      </w:r>
      <w:r>
        <w:t xml:space="preserve">. It </w:t>
      </w:r>
      <w:r w:rsidRPr="000A6AE1">
        <w:t>provides foundational resources upon which state, local, and private investments are leveraged</w:t>
      </w:r>
      <w:r w:rsidR="008B0719">
        <w:t xml:space="preserve">, enabling communities to deliver cost-effective, </w:t>
      </w:r>
      <w:proofErr w:type="gramStart"/>
      <w:r w:rsidR="008B0719">
        <w:t>results</w:t>
      </w:r>
      <w:proofErr w:type="gramEnd"/>
      <w:r w:rsidR="008B0719">
        <w:t xml:space="preserve">-driven solutions for individuals with disabilities who are experiencing or at risk of homelessness. These investments also support upstream interventions within health, justice, </w:t>
      </w:r>
      <w:r w:rsidR="00804E36">
        <w:t xml:space="preserve">aging, </w:t>
      </w:r>
      <w:r w:rsidR="008B0719">
        <w:t>and child welfare systems to prevent housing instability before it begins.</w:t>
      </w:r>
    </w:p>
    <w:p w14:paraId="30AA0D97" w14:textId="6DD63CBC" w:rsidR="009143CC" w:rsidRPr="004920A8" w:rsidRDefault="009143CC" w:rsidP="009143CC">
      <w:r>
        <w:t>Supportive housing developments are made possible through the careful braiding of multiple federal funding sources,</w:t>
      </w:r>
      <w:r w:rsidRPr="004920A8">
        <w:t xml:space="preserve"> including:</w:t>
      </w:r>
    </w:p>
    <w:p w14:paraId="06D81CC5" w14:textId="77777777" w:rsidR="009143CC" w:rsidRPr="0093761A" w:rsidRDefault="009143CC" w:rsidP="009143CC">
      <w:pPr>
        <w:numPr>
          <w:ilvl w:val="0"/>
          <w:numId w:val="14"/>
        </w:numPr>
        <w:rPr>
          <w:b/>
          <w:bCs/>
        </w:rPr>
      </w:pPr>
      <w:r w:rsidRPr="0093761A">
        <w:rPr>
          <w:b/>
          <w:bCs/>
        </w:rPr>
        <w:t xml:space="preserve">HUD </w:t>
      </w:r>
      <w:r w:rsidRPr="0093761A">
        <w:t>provides core housing capital and rental assistance through programs such as HOME, CDBG, the National Housing Trust Fund, HOPWA, and Section 202 and 811. Operational and service funding is supported through Continuum of Care (CoC), Emergency Solutions Grants (ESG), and targeted programs like the Youth Homelessness Demonstration Program (YHDP) and Emergency Housing Vouchers.</w:t>
      </w:r>
    </w:p>
    <w:p w14:paraId="2BD46CE9" w14:textId="77777777" w:rsidR="009143CC" w:rsidRPr="0093761A" w:rsidRDefault="009143CC" w:rsidP="009143CC">
      <w:pPr>
        <w:numPr>
          <w:ilvl w:val="0"/>
          <w:numId w:val="14"/>
        </w:numPr>
        <w:rPr>
          <w:b/>
          <w:bCs/>
        </w:rPr>
      </w:pPr>
      <w:r w:rsidRPr="0093761A">
        <w:rPr>
          <w:b/>
          <w:bCs/>
        </w:rPr>
        <w:t xml:space="preserve">Treasury </w:t>
      </w:r>
      <w:r w:rsidRPr="0093761A">
        <w:t>supports development financing through the Low-Income Housing Tax Credit (LIHTC) and the Community Development Financial Institutions (CDFI) Fund, which enable private investment in supportive housing.</w:t>
      </w:r>
    </w:p>
    <w:p w14:paraId="0F62FB18" w14:textId="12451883" w:rsidR="009143CC" w:rsidRPr="0093761A" w:rsidRDefault="009143CC" w:rsidP="009143CC">
      <w:pPr>
        <w:numPr>
          <w:ilvl w:val="0"/>
          <w:numId w:val="14"/>
        </w:numPr>
        <w:rPr>
          <w:b/>
          <w:bCs/>
        </w:rPr>
      </w:pPr>
      <w:r w:rsidRPr="0093761A">
        <w:rPr>
          <w:b/>
          <w:bCs/>
        </w:rPr>
        <w:t xml:space="preserve">HHS </w:t>
      </w:r>
      <w:r w:rsidRPr="0093761A">
        <w:t xml:space="preserve">delivers critical service funding through SAMHSA </w:t>
      </w:r>
      <w:r w:rsidR="005B3A27">
        <w:t xml:space="preserve">and HRSA </w:t>
      </w:r>
      <w:r w:rsidRPr="0093761A">
        <w:t xml:space="preserve">programs like the Mental Health and Substance Use Block Grants, PATH, and </w:t>
      </w:r>
      <w:r w:rsidR="00213CC8">
        <w:t>Community Health Centers, Maternal and Child Health Program,</w:t>
      </w:r>
      <w:r w:rsidRPr="0093761A">
        <w:t xml:space="preserve"> and the Ryan White Program. ACF and ACL fund services for youth, families, and older adults through programs such as the </w:t>
      </w:r>
      <w:r w:rsidR="00742CD2">
        <w:rPr>
          <w:rFonts w:eastAsia="Times New Roman" w:cs="Times New Roman"/>
          <w:kern w:val="0"/>
          <w14:ligatures w14:val="none"/>
        </w:rPr>
        <w:t xml:space="preserve">Promoting Safe and Stable Families, </w:t>
      </w:r>
      <w:r w:rsidRPr="0093761A">
        <w:t>Runaway and Homeless Youth Program, Chafee Education and Training Vouchers, Community Services Block Grant, and Home and Community-Based Supportive Services.</w:t>
      </w:r>
    </w:p>
    <w:p w14:paraId="62EF1116" w14:textId="327F0472" w:rsidR="00881CD5" w:rsidRDefault="00CD360D" w:rsidP="00544B58">
      <w:r>
        <w:t>P</w:t>
      </w:r>
      <w:r w:rsidR="00B21B47" w:rsidRPr="004920A8">
        <w:t>roposal</w:t>
      </w:r>
      <w:r>
        <w:t>s</w:t>
      </w:r>
      <w:r w:rsidR="00B21B47" w:rsidRPr="004920A8">
        <w:t xml:space="preserve"> to consolidate key federal programs</w:t>
      </w:r>
      <w:r w:rsidR="009617BC">
        <w:t>, introduce time-limits,</w:t>
      </w:r>
      <w:r w:rsidR="00B21B47" w:rsidRPr="004920A8">
        <w:t xml:space="preserve"> and reduce funding </w:t>
      </w:r>
      <w:r w:rsidR="00F608E6" w:rsidRPr="00FF16D0">
        <w:t>without preserving</w:t>
      </w:r>
      <w:r w:rsidR="00F608E6">
        <w:t xml:space="preserve"> the evidence-based components of supportive housing will affect</w:t>
      </w:r>
      <w:r w:rsidR="00F608E6" w:rsidRPr="00FF16D0">
        <w:t xml:space="preserve"> housing stability, limit future development, and increase strain on local systems already working at capacity.</w:t>
      </w:r>
      <w:r w:rsidR="00F608E6">
        <w:t xml:space="preserve"> </w:t>
      </w:r>
      <w:r w:rsidR="009617BC" w:rsidRPr="00FF16D0">
        <w:t xml:space="preserve">The consolidation of Tenant-Based and Project-Based Rental Assistance into a single block grant, along with the grouping of the Continuum of Care (CoC) and Housing Opportunities for Persons with AIDS (HOPWA) into the Emergency Solutions Grants (ESG) program, </w:t>
      </w:r>
      <w:r w:rsidR="009617BC">
        <w:t>would</w:t>
      </w:r>
      <w:r w:rsidR="009617BC" w:rsidRPr="00FF16D0">
        <w:t xml:space="preserve"> significantly disrupt the supportive housing </w:t>
      </w:r>
      <w:r w:rsidR="009617BC">
        <w:t>infrastructure</w:t>
      </w:r>
      <w:r w:rsidR="00F608E6">
        <w:t xml:space="preserve"> </w:t>
      </w:r>
      <w:r w:rsidR="00F608E6" w:rsidRPr="004920A8">
        <w:t xml:space="preserve">that </w:t>
      </w:r>
      <w:r w:rsidR="00F608E6">
        <w:t>has</w:t>
      </w:r>
      <w:r w:rsidR="00F608E6" w:rsidRPr="004920A8">
        <w:t xml:space="preserve"> helped communities across the country manage resources effectively and achieve meaningful outcomes</w:t>
      </w:r>
      <w:r w:rsidR="00F608E6">
        <w:t xml:space="preserve"> over the last 10 years</w:t>
      </w:r>
      <w:r w:rsidR="009617BC" w:rsidRPr="00FF16D0">
        <w:t>.</w:t>
      </w:r>
      <w:r w:rsidR="00881CD5">
        <w:t xml:space="preserve"> </w:t>
      </w:r>
    </w:p>
    <w:p w14:paraId="4AC66172" w14:textId="55943454" w:rsidR="00881CD5" w:rsidRDefault="00A70A4F" w:rsidP="00544B58">
      <w:r>
        <w:t>While</w:t>
      </w:r>
      <w:r w:rsidR="00F608E6">
        <w:t xml:space="preserve"> homelessness has seen a significant rise during the last two years and</w:t>
      </w:r>
      <w:r>
        <w:t xml:space="preserve"> ESG is an essential tool for emergency response, supportive housing requires a different set of long-term, service-oriented supports that the CoC funding </w:t>
      </w:r>
      <w:r w:rsidR="00881CD5">
        <w:t>and housing vouchers are</w:t>
      </w:r>
      <w:r>
        <w:t xml:space="preserve"> specifically designed to provide.</w:t>
      </w:r>
      <w:r w:rsidR="00881CD5">
        <w:t xml:space="preserve"> </w:t>
      </w:r>
      <w:r w:rsidR="00833BA7" w:rsidRPr="00833BA7">
        <w:t xml:space="preserve">These funding streams provide long-term, reliable rental assistance </w:t>
      </w:r>
      <w:r w:rsidR="009617BC">
        <w:t xml:space="preserve">and services support </w:t>
      </w:r>
      <w:r w:rsidR="00833BA7" w:rsidRPr="00833BA7">
        <w:t xml:space="preserve">that </w:t>
      </w:r>
      <w:r w:rsidR="009617BC" w:rsidRPr="00833BA7">
        <w:t>are</w:t>
      </w:r>
      <w:r w:rsidR="00833BA7" w:rsidRPr="00833BA7">
        <w:t xml:space="preserve"> often committed years in advance and serve as the financial backbone for housing projects developed over decades. </w:t>
      </w:r>
    </w:p>
    <w:p w14:paraId="51A2C52B" w14:textId="50FAD527" w:rsidR="005C59F7" w:rsidRPr="004920A8" w:rsidRDefault="005C59F7" w:rsidP="00544B58">
      <w:r w:rsidRPr="005C59F7">
        <w:t>Changes to these resources</w:t>
      </w:r>
      <w:r>
        <w:t xml:space="preserve"> could significantly impact financing for developments </w:t>
      </w:r>
      <w:r w:rsidRPr="005C59F7">
        <w:t>already underway, discourage developers from pursuing future projects, and make landlords more reluctant to lease units to individuals with complex needs. Such a shift would undermine the infrastructure that communities have built over decades to address homelessness and would likely lead to increased homelessness, more encampments, and greater strain on emergency services and public safety systems. This, in turn, would drive up long-term public expenditures at the city, state, and federal levels.</w:t>
      </w:r>
      <w:r>
        <w:t xml:space="preserve"> </w:t>
      </w:r>
      <w:r w:rsidRPr="005C59F7">
        <w:t xml:space="preserve">Preserving stable housing solutions is a fiscally responsible strategy that supports individual self-sufficiency and </w:t>
      </w:r>
      <w:r w:rsidR="00C32EB3" w:rsidRPr="00C32EB3">
        <w:t>strengthens community well-being</w:t>
      </w:r>
      <w:r w:rsidRPr="005C59F7">
        <w:t>.</w:t>
      </w:r>
    </w:p>
    <w:p w14:paraId="372CFD88" w14:textId="6BDC9624" w:rsidR="001935F3" w:rsidRPr="0091397A" w:rsidRDefault="001935F3" w:rsidP="001935F3">
      <w:r w:rsidRPr="0091397A">
        <w:t xml:space="preserve">We strongly urge Congress to fully fund key supportive housing and service programs across multiple federal agencies. </w:t>
      </w:r>
      <w:r w:rsidR="00661D18">
        <w:t>When necessary, t</w:t>
      </w:r>
      <w:r w:rsidRPr="0091397A">
        <w:t>his includes addressing gaps in the FY25 continuing resolution to reflect inflation and fair market rent (FMR) adjustments, as well as accounting for rising development costs nationwide. A detailed breakdown of our funding request is included in Appendix A.</w:t>
      </w:r>
    </w:p>
    <w:p w14:paraId="54070D9E" w14:textId="77777777" w:rsidR="001935F3" w:rsidRPr="0091397A" w:rsidRDefault="001935F3" w:rsidP="001935F3">
      <w:r w:rsidRPr="0091397A">
        <w:t>For further information or to discuss this issue, please contact Kara Mergl, Director of Policy and Government Affairs at the Corporation for Supportive Housing, at </w:t>
      </w:r>
      <w:hyperlink r:id="rId11" w:tgtFrame="_blank" w:history="1">
        <w:r w:rsidRPr="0091397A">
          <w:rPr>
            <w:rStyle w:val="Hyperlink"/>
          </w:rPr>
          <w:t>kara.mergl@csh.org</w:t>
        </w:r>
      </w:hyperlink>
      <w:r w:rsidRPr="0091397A">
        <w:t>.</w:t>
      </w:r>
    </w:p>
    <w:p w14:paraId="5855A7E5" w14:textId="6CA03DE6" w:rsidR="00F137FD" w:rsidRDefault="00CE66B2" w:rsidP="004706DD">
      <w:r>
        <w:t xml:space="preserve">Thank you, </w:t>
      </w:r>
    </w:p>
    <w:p w14:paraId="5A648474" w14:textId="77777777" w:rsidR="0091397A" w:rsidRDefault="0091397A" w:rsidP="004706DD"/>
    <w:p w14:paraId="3B989109" w14:textId="77777777" w:rsidR="008B0719" w:rsidRDefault="008B0719" w:rsidP="004706DD"/>
    <w:p w14:paraId="01BD24B6" w14:textId="77777777" w:rsidR="00C4206D" w:rsidRDefault="00C4206D" w:rsidP="004706DD"/>
    <w:p w14:paraId="447DB45A" w14:textId="77777777" w:rsidR="00C4206D" w:rsidRDefault="00C4206D" w:rsidP="004706DD"/>
    <w:p w14:paraId="0109999E" w14:textId="77777777" w:rsidR="00C4206D" w:rsidRDefault="00C4206D" w:rsidP="004706DD"/>
    <w:p w14:paraId="6A996A41" w14:textId="77777777" w:rsidR="00C4206D" w:rsidRDefault="00C4206D" w:rsidP="004706DD"/>
    <w:p w14:paraId="24A00681" w14:textId="77777777" w:rsidR="008B0719" w:rsidRDefault="008B0719" w:rsidP="004706DD"/>
    <w:p w14:paraId="1B7785CF" w14:textId="77777777" w:rsidR="008B0719" w:rsidRDefault="008B0719" w:rsidP="004706DD"/>
    <w:p w14:paraId="0FE1CF92" w14:textId="77777777" w:rsidR="0059658C" w:rsidRDefault="0059658C" w:rsidP="004706DD"/>
    <w:p w14:paraId="57F27582" w14:textId="77777777" w:rsidR="00410934" w:rsidRPr="00410934" w:rsidRDefault="00410934" w:rsidP="00410934">
      <w:pPr>
        <w:pStyle w:val="Heading3"/>
        <w:rPr>
          <w:rFonts w:ascii="Segoe UI" w:eastAsia="Times New Roman" w:hAnsi="Segoe UI" w:cs="Segoe UI"/>
          <w:b/>
          <w:bCs/>
          <w:color w:val="auto"/>
          <w:kern w:val="0"/>
          <w:sz w:val="27"/>
          <w:szCs w:val="27"/>
          <w14:ligatures w14:val="none"/>
        </w:rPr>
      </w:pPr>
      <w:r w:rsidRPr="00410934">
        <w:rPr>
          <w:b/>
          <w:bCs/>
          <w:color w:val="auto"/>
        </w:rPr>
        <w:t xml:space="preserve">Appendix A: Summary of Federal Funding Request for Supportive Housing </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3240"/>
        <w:gridCol w:w="1350"/>
        <w:gridCol w:w="4315"/>
      </w:tblGrid>
      <w:tr w:rsidR="00CF1DF4" w:rsidRPr="00AB04F8" w14:paraId="385BCD29" w14:textId="77777777" w:rsidTr="00CF1D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5" w:type="dxa"/>
            <w:hideMark/>
          </w:tcPr>
          <w:p w14:paraId="0B92D698" w14:textId="77777777" w:rsidR="00410934" w:rsidRPr="00AB04F8" w:rsidRDefault="00410934" w:rsidP="00570AD5">
            <w:pPr>
              <w:jc w:val="center"/>
              <w:rPr>
                <w:rFonts w:eastAsia="Times New Roman" w:cs="Times New Roman"/>
                <w:kern w:val="0"/>
                <w14:ligatures w14:val="none"/>
              </w:rPr>
            </w:pPr>
            <w:r w:rsidRPr="00AB04F8">
              <w:rPr>
                <w:rFonts w:eastAsia="Times New Roman" w:cs="Times New Roman"/>
                <w:kern w:val="0"/>
                <w14:ligatures w14:val="none"/>
              </w:rPr>
              <w:t>Agency</w:t>
            </w:r>
          </w:p>
        </w:tc>
        <w:tc>
          <w:tcPr>
            <w:tcW w:w="3240" w:type="dxa"/>
            <w:hideMark/>
          </w:tcPr>
          <w:p w14:paraId="1B3F3AF2" w14:textId="77777777" w:rsidR="00410934" w:rsidRPr="00AB04F8" w:rsidRDefault="00410934" w:rsidP="00570AD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Program</w:t>
            </w:r>
          </w:p>
        </w:tc>
        <w:tc>
          <w:tcPr>
            <w:tcW w:w="1350" w:type="dxa"/>
            <w:hideMark/>
          </w:tcPr>
          <w:p w14:paraId="63C51274" w14:textId="35DA74D8" w:rsidR="00410934" w:rsidRPr="00AB04F8" w:rsidRDefault="00410934" w:rsidP="00570AD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Funding</w:t>
            </w:r>
            <w:r w:rsidR="00604BD7">
              <w:rPr>
                <w:rFonts w:eastAsia="Times New Roman" w:cs="Times New Roman"/>
                <w:kern w:val="0"/>
                <w14:ligatures w14:val="none"/>
              </w:rPr>
              <w:t xml:space="preserve"> Level</w:t>
            </w:r>
          </w:p>
        </w:tc>
        <w:tc>
          <w:tcPr>
            <w:tcW w:w="4315" w:type="dxa"/>
            <w:hideMark/>
          </w:tcPr>
          <w:p w14:paraId="1A61E35B" w14:textId="1BA5F455" w:rsidR="00410934" w:rsidRPr="00AB04F8" w:rsidRDefault="5BA82E09" w:rsidP="00570AD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Adjustment</w:t>
            </w:r>
            <w:r w:rsidR="00604BD7">
              <w:rPr>
                <w:rFonts w:eastAsia="Times New Roman" w:cs="Times New Roman"/>
                <w:kern w:val="0"/>
                <w14:ligatures w14:val="none"/>
              </w:rPr>
              <w:t xml:space="preserve"> from FY25 CR</w:t>
            </w:r>
          </w:p>
        </w:tc>
      </w:tr>
      <w:tr w:rsidR="00A85FC1" w:rsidRPr="00410934" w14:paraId="07688A75"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vAlign w:val="center"/>
          </w:tcPr>
          <w:p w14:paraId="34DA7317" w14:textId="51B77F1C" w:rsidR="00A85FC1" w:rsidRPr="00AB04F8" w:rsidRDefault="00A85FC1" w:rsidP="006A05D4">
            <w:pPr>
              <w:ind w:left="113" w:right="113"/>
              <w:jc w:val="center"/>
              <w:rPr>
                <w:rFonts w:eastAsia="Times New Roman" w:cs="Times New Roman"/>
                <w:i/>
                <w:kern w:val="0"/>
                <w14:ligatures w14:val="none"/>
              </w:rPr>
            </w:pPr>
            <w:r w:rsidRPr="000052D6">
              <w:rPr>
                <w:rFonts w:eastAsia="Times New Roman" w:cs="Times New Roman"/>
                <w:i/>
                <w:kern w:val="0"/>
                <w14:ligatures w14:val="none"/>
              </w:rPr>
              <w:t>HUD</w:t>
            </w:r>
          </w:p>
        </w:tc>
        <w:tc>
          <w:tcPr>
            <w:tcW w:w="3240" w:type="dxa"/>
            <w:hideMark/>
          </w:tcPr>
          <w:p w14:paraId="3B7E00FD" w14:textId="6B1061EE"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Tenant-Based Rental Assistance</w:t>
            </w:r>
            <w:r>
              <w:rPr>
                <w:rFonts w:eastAsia="Times New Roman" w:cs="Times New Roman"/>
                <w:kern w:val="0"/>
                <w14:ligatures w14:val="none"/>
              </w:rPr>
              <w:t xml:space="preserve"> – Renewals + Admin Fees</w:t>
            </w:r>
          </w:p>
        </w:tc>
        <w:tc>
          <w:tcPr>
            <w:tcW w:w="1350" w:type="dxa"/>
            <w:hideMark/>
          </w:tcPr>
          <w:p w14:paraId="6BF8B642"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$36 billion</w:t>
            </w:r>
          </w:p>
        </w:tc>
        <w:tc>
          <w:tcPr>
            <w:tcW w:w="4315" w:type="dxa"/>
            <w:hideMark/>
          </w:tcPr>
          <w:p w14:paraId="3F7505B3" w14:textId="395F1F73"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A</w:t>
            </w:r>
            <w:r w:rsidRPr="00AB04F8">
              <w:rPr>
                <w:rFonts w:eastAsia="Times New Roman" w:cs="Times New Roman"/>
                <w:kern w:val="0"/>
                <w14:ligatures w14:val="none"/>
              </w:rPr>
              <w:t>djust for FMR and inflation</w:t>
            </w:r>
            <w:r>
              <w:rPr>
                <w:rFonts w:eastAsia="Times New Roman" w:cs="Times New Roman"/>
                <w:kern w:val="0"/>
                <w14:ligatures w14:val="none"/>
              </w:rPr>
              <w:t>, addresses FY25 shortfall</w:t>
            </w:r>
          </w:p>
        </w:tc>
      </w:tr>
      <w:tr w:rsidR="00A85FC1" w:rsidRPr="00410934" w14:paraId="63876BE2"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50946998" w14:textId="5899F6C2" w:rsidR="00A85FC1" w:rsidRPr="00AB04F8" w:rsidRDefault="00A85FC1" w:rsidP="000052D6">
            <w:pPr>
              <w:jc w:val="center"/>
              <w:rPr>
                <w:rFonts w:eastAsia="Times New Roman" w:cs="Times New Roman"/>
                <w:i/>
                <w:kern w:val="0"/>
                <w14:ligatures w14:val="none"/>
              </w:rPr>
            </w:pPr>
          </w:p>
        </w:tc>
        <w:tc>
          <w:tcPr>
            <w:tcW w:w="3240" w:type="dxa"/>
            <w:hideMark/>
          </w:tcPr>
          <w:p w14:paraId="68A3C3CF" w14:textId="77777777"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Family Unification Program Vouchers</w:t>
            </w:r>
          </w:p>
        </w:tc>
        <w:tc>
          <w:tcPr>
            <w:tcW w:w="1350" w:type="dxa"/>
            <w:hideMark/>
          </w:tcPr>
          <w:p w14:paraId="6D9BC300" w14:textId="77777777"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$30 million</w:t>
            </w:r>
          </w:p>
        </w:tc>
        <w:tc>
          <w:tcPr>
            <w:tcW w:w="4315" w:type="dxa"/>
            <w:hideMark/>
          </w:tcPr>
          <w:p w14:paraId="0B94B8EF" w14:textId="679EF8A5"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t>No change</w:t>
            </w:r>
          </w:p>
        </w:tc>
      </w:tr>
      <w:tr w:rsidR="00A85FC1" w:rsidRPr="00410934" w14:paraId="05E150D5"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5D42ACBE" w14:textId="125CABD0" w:rsidR="00A85FC1" w:rsidRPr="00AB04F8" w:rsidRDefault="00A85FC1" w:rsidP="000052D6">
            <w:pPr>
              <w:jc w:val="center"/>
              <w:rPr>
                <w:rFonts w:eastAsia="Times New Roman" w:cs="Times New Roman"/>
                <w:i/>
                <w:kern w:val="0"/>
                <w14:ligatures w14:val="none"/>
              </w:rPr>
            </w:pPr>
          </w:p>
        </w:tc>
        <w:tc>
          <w:tcPr>
            <w:tcW w:w="3240" w:type="dxa"/>
            <w:hideMark/>
          </w:tcPr>
          <w:p w14:paraId="61E9E796" w14:textId="67C8FD4F"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Project-Based Rental Assistance</w:t>
            </w:r>
            <w:r>
              <w:rPr>
                <w:rFonts w:eastAsia="Times New Roman" w:cs="Times New Roman"/>
                <w:kern w:val="0"/>
                <w14:ligatures w14:val="none"/>
              </w:rPr>
              <w:t xml:space="preserve"> - Renewals + Admin Fees</w:t>
            </w:r>
          </w:p>
        </w:tc>
        <w:tc>
          <w:tcPr>
            <w:tcW w:w="1350" w:type="dxa"/>
            <w:hideMark/>
          </w:tcPr>
          <w:p w14:paraId="65665B47" w14:textId="369D8C4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$18.05</w:t>
            </w:r>
            <w:r>
              <w:rPr>
                <w:rFonts w:eastAsia="Times New Roman" w:cs="Times New Roman"/>
                <w:kern w:val="0"/>
                <w14:ligatures w14:val="none"/>
              </w:rPr>
              <w:t xml:space="preserve"> </w:t>
            </w:r>
            <w:r w:rsidRPr="00AB04F8">
              <w:rPr>
                <w:rFonts w:eastAsia="Times New Roman" w:cs="Times New Roman"/>
                <w:kern w:val="0"/>
                <w14:ligatures w14:val="none"/>
              </w:rPr>
              <w:t>billion</w:t>
            </w:r>
          </w:p>
        </w:tc>
        <w:tc>
          <w:tcPr>
            <w:tcW w:w="4315" w:type="dxa"/>
            <w:hideMark/>
          </w:tcPr>
          <w:p w14:paraId="22C8A150" w14:textId="4CBCDA58"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A</w:t>
            </w:r>
            <w:r w:rsidRPr="00AB04F8">
              <w:rPr>
                <w:rFonts w:eastAsia="Times New Roman" w:cs="Times New Roman"/>
                <w:kern w:val="0"/>
                <w14:ligatures w14:val="none"/>
              </w:rPr>
              <w:t>djust for FMR and inflation</w:t>
            </w:r>
          </w:p>
        </w:tc>
      </w:tr>
      <w:tr w:rsidR="00A85FC1" w:rsidRPr="00AB04F8" w14:paraId="5E358ED8"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2FE6BBE5" w14:textId="71771B4C" w:rsidR="00A85FC1" w:rsidRPr="00AB04F8" w:rsidRDefault="00A85FC1" w:rsidP="000052D6">
            <w:pPr>
              <w:jc w:val="center"/>
              <w:rPr>
                <w:rFonts w:eastAsia="Times New Roman" w:cs="Times New Roman"/>
                <w:i/>
                <w:kern w:val="0"/>
                <w14:ligatures w14:val="none"/>
              </w:rPr>
            </w:pPr>
          </w:p>
        </w:tc>
        <w:tc>
          <w:tcPr>
            <w:tcW w:w="3240" w:type="dxa"/>
            <w:hideMark/>
          </w:tcPr>
          <w:p w14:paraId="41C302BA" w14:textId="37C1F8E4"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Section 202 Vouchers</w:t>
            </w:r>
            <w:r>
              <w:rPr>
                <w:rFonts w:eastAsia="Times New Roman" w:cs="Times New Roman"/>
                <w:kern w:val="0"/>
                <w14:ligatures w14:val="none"/>
              </w:rPr>
              <w:t xml:space="preserve"> – Housing for the Elderly </w:t>
            </w:r>
          </w:p>
        </w:tc>
        <w:tc>
          <w:tcPr>
            <w:tcW w:w="1350" w:type="dxa"/>
            <w:hideMark/>
          </w:tcPr>
          <w:p w14:paraId="714C7ECC" w14:textId="77777777"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$931 million</w:t>
            </w:r>
          </w:p>
        </w:tc>
        <w:tc>
          <w:tcPr>
            <w:tcW w:w="4315" w:type="dxa"/>
            <w:hideMark/>
          </w:tcPr>
          <w:p w14:paraId="1EA94129" w14:textId="22DD686A"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t>No change</w:t>
            </w:r>
          </w:p>
        </w:tc>
      </w:tr>
      <w:tr w:rsidR="00A85FC1" w:rsidRPr="00410934" w14:paraId="646E3E24"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47B5E336" w14:textId="039B1A3A" w:rsidR="00A85FC1" w:rsidRPr="00AB04F8" w:rsidRDefault="00A85FC1" w:rsidP="000052D6">
            <w:pPr>
              <w:jc w:val="center"/>
              <w:rPr>
                <w:rFonts w:eastAsia="Times New Roman" w:cs="Times New Roman"/>
                <w:i/>
                <w:kern w:val="0"/>
                <w14:ligatures w14:val="none"/>
              </w:rPr>
            </w:pPr>
          </w:p>
        </w:tc>
        <w:tc>
          <w:tcPr>
            <w:tcW w:w="3240" w:type="dxa"/>
            <w:hideMark/>
          </w:tcPr>
          <w:p w14:paraId="27DA7A4A"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Section 811 Vouchers</w:t>
            </w:r>
          </w:p>
        </w:tc>
        <w:tc>
          <w:tcPr>
            <w:tcW w:w="1350" w:type="dxa"/>
            <w:hideMark/>
          </w:tcPr>
          <w:p w14:paraId="03924366"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$257 million</w:t>
            </w:r>
          </w:p>
        </w:tc>
        <w:tc>
          <w:tcPr>
            <w:tcW w:w="4315" w:type="dxa"/>
            <w:hideMark/>
          </w:tcPr>
          <w:p w14:paraId="1D3063B8" w14:textId="22FB7E0E"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t>No change</w:t>
            </w:r>
          </w:p>
        </w:tc>
      </w:tr>
      <w:tr w:rsidR="00A85FC1" w:rsidRPr="00AB04F8" w14:paraId="6893D20A"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7452E309" w14:textId="733F565C" w:rsidR="00A85FC1" w:rsidRPr="00AB04F8" w:rsidRDefault="00A85FC1" w:rsidP="000052D6">
            <w:pPr>
              <w:jc w:val="center"/>
              <w:rPr>
                <w:rFonts w:eastAsia="Times New Roman" w:cs="Times New Roman"/>
                <w:i/>
                <w:kern w:val="0"/>
                <w14:ligatures w14:val="none"/>
              </w:rPr>
            </w:pPr>
          </w:p>
        </w:tc>
        <w:tc>
          <w:tcPr>
            <w:tcW w:w="3240" w:type="dxa"/>
            <w:hideMark/>
          </w:tcPr>
          <w:p w14:paraId="2ADCC90E" w14:textId="6F339A59"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Emergency Housing Vouchers</w:t>
            </w:r>
            <w:r>
              <w:rPr>
                <w:rFonts w:eastAsia="Times New Roman" w:cs="Times New Roman"/>
                <w:kern w:val="0"/>
                <w14:ligatures w14:val="none"/>
              </w:rPr>
              <w:t xml:space="preserve"> </w:t>
            </w:r>
          </w:p>
        </w:tc>
        <w:tc>
          <w:tcPr>
            <w:tcW w:w="1350" w:type="dxa"/>
            <w:hideMark/>
          </w:tcPr>
          <w:p w14:paraId="7319F06E" w14:textId="7DEFFA1E"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60,000 vouchers</w:t>
            </w:r>
          </w:p>
        </w:tc>
        <w:tc>
          <w:tcPr>
            <w:tcW w:w="4315" w:type="dxa"/>
            <w:hideMark/>
          </w:tcPr>
          <w:p w14:paraId="45299DB4" w14:textId="05F716A8"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5008FC">
              <w:rPr>
                <w:rFonts w:eastAsia="Times New Roman" w:cs="Times New Roman"/>
                <w:kern w:val="0"/>
                <w14:ligatures w14:val="none"/>
              </w:rPr>
              <w:t>Annual funding until vouchers expire through natural attrition</w:t>
            </w:r>
          </w:p>
        </w:tc>
      </w:tr>
      <w:tr w:rsidR="00A85FC1" w:rsidRPr="00410934" w14:paraId="78C0A06C"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09EDA6B3" w14:textId="36A02F49" w:rsidR="00A85FC1" w:rsidRPr="00AB04F8" w:rsidRDefault="00A85FC1" w:rsidP="000052D6">
            <w:pPr>
              <w:jc w:val="center"/>
              <w:rPr>
                <w:rFonts w:eastAsia="Times New Roman" w:cs="Times New Roman"/>
                <w:i/>
                <w:kern w:val="0"/>
                <w14:ligatures w14:val="none"/>
              </w:rPr>
            </w:pPr>
          </w:p>
        </w:tc>
        <w:tc>
          <w:tcPr>
            <w:tcW w:w="3240" w:type="dxa"/>
            <w:hideMark/>
          </w:tcPr>
          <w:p w14:paraId="7D20C510"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Community Development Block Grant (CDBG)</w:t>
            </w:r>
          </w:p>
        </w:tc>
        <w:tc>
          <w:tcPr>
            <w:tcW w:w="1350" w:type="dxa"/>
            <w:hideMark/>
          </w:tcPr>
          <w:p w14:paraId="6D35052C"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$3.3 billion</w:t>
            </w:r>
          </w:p>
        </w:tc>
        <w:tc>
          <w:tcPr>
            <w:tcW w:w="4315" w:type="dxa"/>
            <w:hideMark/>
          </w:tcPr>
          <w:p w14:paraId="26146DAF" w14:textId="529D318E"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t>Minimum Request</w:t>
            </w:r>
          </w:p>
        </w:tc>
      </w:tr>
      <w:tr w:rsidR="00A85FC1" w:rsidRPr="00AB04F8" w14:paraId="07143A84"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10D744E0" w14:textId="23559E28" w:rsidR="00A85FC1" w:rsidRPr="00AB04F8" w:rsidRDefault="00A85FC1" w:rsidP="000052D6">
            <w:pPr>
              <w:jc w:val="center"/>
              <w:rPr>
                <w:rFonts w:eastAsia="Times New Roman" w:cs="Times New Roman"/>
                <w:i/>
                <w:kern w:val="0"/>
                <w14:ligatures w14:val="none"/>
              </w:rPr>
            </w:pPr>
          </w:p>
        </w:tc>
        <w:tc>
          <w:tcPr>
            <w:tcW w:w="3240" w:type="dxa"/>
            <w:hideMark/>
          </w:tcPr>
          <w:p w14:paraId="2D79FFBF" w14:textId="77777777"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HOME Investment Partnerships Program</w:t>
            </w:r>
          </w:p>
        </w:tc>
        <w:tc>
          <w:tcPr>
            <w:tcW w:w="1350" w:type="dxa"/>
            <w:hideMark/>
          </w:tcPr>
          <w:p w14:paraId="3C5508F8" w14:textId="1559380B"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$1.6</w:t>
            </w:r>
            <w:r>
              <w:rPr>
                <w:rFonts w:eastAsia="Times New Roman" w:cs="Times New Roman"/>
                <w:kern w:val="0"/>
                <w14:ligatures w14:val="none"/>
              </w:rPr>
              <w:t>25</w:t>
            </w:r>
            <w:r w:rsidRPr="00AB04F8">
              <w:rPr>
                <w:rFonts w:eastAsia="Times New Roman" w:cs="Times New Roman"/>
                <w:kern w:val="0"/>
                <w14:ligatures w14:val="none"/>
              </w:rPr>
              <w:t xml:space="preserve"> billion</w:t>
            </w:r>
          </w:p>
        </w:tc>
        <w:tc>
          <w:tcPr>
            <w:tcW w:w="4315" w:type="dxa"/>
            <w:hideMark/>
          </w:tcPr>
          <w:p w14:paraId="2545EFFB" w14:textId="78AA9855"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Increase: +$375 million to align</w:t>
            </w:r>
            <w:r w:rsidRPr="00AB04F8">
              <w:rPr>
                <w:rFonts w:eastAsia="Times New Roman" w:cs="Times New Roman"/>
                <w:kern w:val="0"/>
                <w14:ligatures w14:val="none"/>
              </w:rPr>
              <w:t xml:space="preserve"> with </w:t>
            </w:r>
            <w:r>
              <w:rPr>
                <w:rFonts w:eastAsia="Times New Roman" w:cs="Times New Roman"/>
                <w:kern w:val="0"/>
                <w14:ligatures w14:val="none"/>
              </w:rPr>
              <w:t xml:space="preserve">reconciliation </w:t>
            </w:r>
            <w:r w:rsidRPr="00AB04F8">
              <w:rPr>
                <w:rFonts w:eastAsia="Times New Roman" w:cs="Times New Roman"/>
                <w:kern w:val="0"/>
                <w14:ligatures w14:val="none"/>
              </w:rPr>
              <w:t>LIHTC expansion</w:t>
            </w:r>
          </w:p>
        </w:tc>
      </w:tr>
      <w:tr w:rsidR="00A85FC1" w:rsidRPr="00410934" w14:paraId="1CE4CAEE"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2E1594A0" w14:textId="67DF4C8F" w:rsidR="00A85FC1" w:rsidRPr="00AB04F8" w:rsidRDefault="00A85FC1" w:rsidP="000052D6">
            <w:pPr>
              <w:jc w:val="center"/>
              <w:rPr>
                <w:rFonts w:eastAsia="Times New Roman" w:cs="Times New Roman"/>
                <w:i/>
                <w:kern w:val="0"/>
                <w14:ligatures w14:val="none"/>
              </w:rPr>
            </w:pPr>
          </w:p>
        </w:tc>
        <w:tc>
          <w:tcPr>
            <w:tcW w:w="3240" w:type="dxa"/>
            <w:hideMark/>
          </w:tcPr>
          <w:p w14:paraId="0CF37A39"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Housing Opportunities for Persons with AIDS (HOPWA)</w:t>
            </w:r>
          </w:p>
        </w:tc>
        <w:tc>
          <w:tcPr>
            <w:tcW w:w="1350" w:type="dxa"/>
            <w:hideMark/>
          </w:tcPr>
          <w:p w14:paraId="73A483BE" w14:textId="77777777"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$552.9 million</w:t>
            </w:r>
          </w:p>
        </w:tc>
        <w:tc>
          <w:tcPr>
            <w:tcW w:w="4315" w:type="dxa"/>
            <w:hideMark/>
          </w:tcPr>
          <w:p w14:paraId="095F0238" w14:textId="3AC8DEFB"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A</w:t>
            </w:r>
            <w:r w:rsidRPr="00AB04F8">
              <w:rPr>
                <w:rFonts w:eastAsia="Times New Roman" w:cs="Times New Roman"/>
                <w:kern w:val="0"/>
                <w14:ligatures w14:val="none"/>
              </w:rPr>
              <w:t>djust for FMR and inflation</w:t>
            </w:r>
          </w:p>
        </w:tc>
      </w:tr>
      <w:tr w:rsidR="00A85FC1" w:rsidRPr="00AB04F8" w14:paraId="11446108"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1049C2DD" w14:textId="7A7556BF" w:rsidR="00A85FC1" w:rsidRPr="00AB04F8" w:rsidRDefault="00A85FC1" w:rsidP="000052D6">
            <w:pPr>
              <w:jc w:val="center"/>
              <w:rPr>
                <w:rFonts w:eastAsia="Times New Roman" w:cs="Times New Roman"/>
                <w:i/>
                <w:kern w:val="0"/>
                <w14:ligatures w14:val="none"/>
              </w:rPr>
            </w:pPr>
          </w:p>
        </w:tc>
        <w:tc>
          <w:tcPr>
            <w:tcW w:w="3240" w:type="dxa"/>
            <w:hideMark/>
          </w:tcPr>
          <w:p w14:paraId="78C546D0" w14:textId="77777777"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Continuum of Care (CoC) Program</w:t>
            </w:r>
          </w:p>
        </w:tc>
        <w:tc>
          <w:tcPr>
            <w:tcW w:w="1350" w:type="dxa"/>
            <w:hideMark/>
          </w:tcPr>
          <w:p w14:paraId="433A920C" w14:textId="075E93EF"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$4.2 billion</w:t>
            </w:r>
          </w:p>
        </w:tc>
        <w:tc>
          <w:tcPr>
            <w:tcW w:w="4315" w:type="dxa"/>
            <w:hideMark/>
          </w:tcPr>
          <w:p w14:paraId="3901B332" w14:textId="2E6DD24B"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A</w:t>
            </w:r>
            <w:r w:rsidRPr="00AB04F8">
              <w:rPr>
                <w:rFonts w:eastAsia="Times New Roman" w:cs="Times New Roman"/>
                <w:kern w:val="0"/>
                <w14:ligatures w14:val="none"/>
              </w:rPr>
              <w:t>djust for FMR and inflation</w:t>
            </w:r>
            <w:r>
              <w:rPr>
                <w:rFonts w:eastAsia="Times New Roman" w:cs="Times New Roman"/>
                <w:kern w:val="0"/>
                <w14:ligatures w14:val="none"/>
              </w:rPr>
              <w:t>, addresses FY25 shortfall, +$25 million increase cost of living adjustment for workforce</w:t>
            </w:r>
          </w:p>
        </w:tc>
      </w:tr>
      <w:tr w:rsidR="00A85FC1" w:rsidRPr="00410934" w14:paraId="05E3B368"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074B178C" w14:textId="3ABC5347" w:rsidR="00A85FC1" w:rsidRPr="00AB04F8" w:rsidRDefault="00A85FC1" w:rsidP="000052D6">
            <w:pPr>
              <w:jc w:val="center"/>
              <w:rPr>
                <w:rFonts w:eastAsia="Times New Roman" w:cs="Times New Roman"/>
                <w:i/>
                <w:kern w:val="0"/>
                <w14:ligatures w14:val="none"/>
              </w:rPr>
            </w:pPr>
          </w:p>
        </w:tc>
        <w:tc>
          <w:tcPr>
            <w:tcW w:w="3240" w:type="dxa"/>
            <w:hideMark/>
          </w:tcPr>
          <w:p w14:paraId="66D30CB4" w14:textId="45ED4B40" w:rsidR="00A85FC1" w:rsidRPr="00AB04F8" w:rsidRDefault="00A85FC1" w:rsidP="00F65CA6">
            <w:pPr>
              <w:cnfStyle w:val="000000100000" w:firstRow="0" w:lastRow="0" w:firstColumn="0" w:lastColumn="0" w:oddVBand="0" w:evenVBand="0" w:oddHBand="1" w:evenHBand="0" w:firstRowFirstColumn="0" w:firstRowLastColumn="0" w:lastRowFirstColumn="0" w:lastRowLastColumn="0"/>
              <w:rPr>
                <w:rFonts w:eastAsia="Times New Roman" w:cs="Times New Roman"/>
                <w:i/>
                <w:iCs/>
                <w:kern w:val="0"/>
                <w14:ligatures w14:val="none"/>
              </w:rPr>
            </w:pPr>
            <w:r w:rsidRPr="00AB04F8">
              <w:rPr>
                <w:rFonts w:eastAsia="Times New Roman" w:cs="Times New Roman"/>
                <w:kern w:val="0"/>
                <w14:ligatures w14:val="none"/>
              </w:rPr>
              <w:t>Emergency Solutions Grants (ESG)</w:t>
            </w:r>
          </w:p>
        </w:tc>
        <w:tc>
          <w:tcPr>
            <w:tcW w:w="1350" w:type="dxa"/>
            <w:hideMark/>
          </w:tcPr>
          <w:p w14:paraId="499B5418" w14:textId="55FF3941"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$500 million</w:t>
            </w:r>
          </w:p>
        </w:tc>
        <w:tc>
          <w:tcPr>
            <w:tcW w:w="4315" w:type="dxa"/>
            <w:hideMark/>
          </w:tcPr>
          <w:p w14:paraId="66F5FC7A" w14:textId="4A887E06"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Increase: +$210 million to a</w:t>
            </w:r>
            <w:r w:rsidRPr="00AB04F8">
              <w:rPr>
                <w:rFonts w:eastAsia="Times New Roman" w:cs="Times New Roman"/>
                <w:kern w:val="0"/>
                <w14:ligatures w14:val="none"/>
              </w:rPr>
              <w:t>ddress</w:t>
            </w:r>
            <w:r>
              <w:rPr>
                <w:rFonts w:eastAsia="Times New Roman" w:cs="Times New Roman"/>
                <w:kern w:val="0"/>
                <w14:ligatures w14:val="none"/>
              </w:rPr>
              <w:t xml:space="preserve"> rise in </w:t>
            </w:r>
            <w:r w:rsidRPr="00AB04F8">
              <w:rPr>
                <w:rFonts w:eastAsia="Times New Roman" w:cs="Times New Roman"/>
                <w:kern w:val="0"/>
                <w14:ligatures w14:val="none"/>
              </w:rPr>
              <w:t xml:space="preserve">unsheltered homelessness </w:t>
            </w:r>
          </w:p>
        </w:tc>
      </w:tr>
      <w:tr w:rsidR="00A85FC1" w:rsidRPr="00AB04F8" w14:paraId="19E45828"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0B666384" w14:textId="329E02E2" w:rsidR="00A85FC1" w:rsidRPr="00AB04F8" w:rsidRDefault="00A85FC1" w:rsidP="000052D6">
            <w:pPr>
              <w:jc w:val="center"/>
              <w:rPr>
                <w:rFonts w:eastAsia="Times New Roman" w:cs="Times New Roman"/>
                <w:i/>
                <w:kern w:val="0"/>
                <w14:ligatures w14:val="none"/>
              </w:rPr>
            </w:pPr>
          </w:p>
        </w:tc>
        <w:tc>
          <w:tcPr>
            <w:tcW w:w="3240" w:type="dxa"/>
            <w:hideMark/>
          </w:tcPr>
          <w:p w14:paraId="72048469" w14:textId="439DF7EE" w:rsidR="00A85FC1" w:rsidRPr="00AB04F8" w:rsidRDefault="00A85FC1" w:rsidP="00F65CA6">
            <w:pPr>
              <w:cnfStyle w:val="000000000000" w:firstRow="0" w:lastRow="0" w:firstColumn="0" w:lastColumn="0" w:oddVBand="0" w:evenVBand="0" w:oddHBand="0" w:evenHBand="0" w:firstRowFirstColumn="0" w:firstRowLastColumn="0" w:lastRowFirstColumn="0" w:lastRowLastColumn="0"/>
              <w:rPr>
                <w:rFonts w:eastAsia="Times New Roman" w:cs="Times New Roman"/>
                <w:i/>
                <w:iCs/>
                <w:kern w:val="0"/>
                <w14:ligatures w14:val="none"/>
              </w:rPr>
            </w:pPr>
            <w:r w:rsidRPr="00AB04F8">
              <w:rPr>
                <w:rFonts w:eastAsia="Times New Roman" w:cs="Times New Roman"/>
                <w:kern w:val="0"/>
                <w14:ligatures w14:val="none"/>
              </w:rPr>
              <w:t>Youth Homeless Demonstration Program (YHDP)</w:t>
            </w:r>
          </w:p>
        </w:tc>
        <w:tc>
          <w:tcPr>
            <w:tcW w:w="1350" w:type="dxa"/>
            <w:hideMark/>
          </w:tcPr>
          <w:p w14:paraId="32589899" w14:textId="30616B3F"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$1</w:t>
            </w:r>
            <w:r>
              <w:rPr>
                <w:rFonts w:eastAsia="Times New Roman" w:cs="Times New Roman"/>
                <w:kern w:val="0"/>
                <w14:ligatures w14:val="none"/>
              </w:rPr>
              <w:t>32</w:t>
            </w:r>
            <w:r w:rsidRPr="00AB04F8">
              <w:rPr>
                <w:rFonts w:eastAsia="Times New Roman" w:cs="Times New Roman"/>
                <w:kern w:val="0"/>
                <w14:ligatures w14:val="none"/>
              </w:rPr>
              <w:t xml:space="preserve"> million</w:t>
            </w:r>
          </w:p>
        </w:tc>
        <w:tc>
          <w:tcPr>
            <w:tcW w:w="4315" w:type="dxa"/>
            <w:hideMark/>
          </w:tcPr>
          <w:p w14:paraId="0BE2E127" w14:textId="7E019E84"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Increase: +$25 million to expand program and establish permanence of demo</w:t>
            </w:r>
          </w:p>
        </w:tc>
      </w:tr>
      <w:tr w:rsidR="00A85FC1" w:rsidRPr="00410934" w14:paraId="4AE27B8B"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6816B8D7" w14:textId="715E0C95" w:rsidR="00A85FC1" w:rsidRPr="00AB04F8" w:rsidRDefault="00A85FC1" w:rsidP="000052D6">
            <w:pPr>
              <w:jc w:val="center"/>
              <w:rPr>
                <w:rFonts w:eastAsia="Times New Roman" w:cs="Times New Roman"/>
                <w:i/>
                <w:kern w:val="0"/>
                <w14:ligatures w14:val="none"/>
              </w:rPr>
            </w:pPr>
          </w:p>
        </w:tc>
        <w:tc>
          <w:tcPr>
            <w:tcW w:w="3240" w:type="dxa"/>
            <w:hideMark/>
          </w:tcPr>
          <w:p w14:paraId="4ABE06CB" w14:textId="0D521AF5"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 xml:space="preserve">Homeless Management Information Systems (HMIS) </w:t>
            </w:r>
          </w:p>
        </w:tc>
        <w:tc>
          <w:tcPr>
            <w:tcW w:w="1350" w:type="dxa"/>
            <w:hideMark/>
          </w:tcPr>
          <w:p w14:paraId="771768CB" w14:textId="0AB83152"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w:t>
            </w:r>
            <w:r>
              <w:rPr>
                <w:rFonts w:eastAsia="Times New Roman" w:cs="Times New Roman"/>
                <w:kern w:val="0"/>
                <w14:ligatures w14:val="none"/>
              </w:rPr>
              <w:t>7 million</w:t>
            </w:r>
          </w:p>
        </w:tc>
        <w:tc>
          <w:tcPr>
            <w:tcW w:w="4315" w:type="dxa"/>
            <w:hideMark/>
          </w:tcPr>
          <w:p w14:paraId="581C25C9" w14:textId="2E6CBD02"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A85FC1" w:rsidRPr="00410934" w14:paraId="1484B809"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243D2E49" w14:textId="77777777" w:rsidR="00A85FC1" w:rsidRPr="00AB04F8" w:rsidRDefault="00A85FC1" w:rsidP="000052D6">
            <w:pPr>
              <w:jc w:val="center"/>
              <w:rPr>
                <w:rFonts w:eastAsia="Times New Roman" w:cs="Times New Roman"/>
                <w:i/>
                <w:kern w:val="0"/>
                <w14:ligatures w14:val="none"/>
              </w:rPr>
            </w:pPr>
          </w:p>
        </w:tc>
        <w:tc>
          <w:tcPr>
            <w:tcW w:w="3240" w:type="dxa"/>
            <w:shd w:val="clear" w:color="auto" w:fill="auto"/>
          </w:tcPr>
          <w:p w14:paraId="5A2560D0" w14:textId="1B812255"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Homeless Technical Assistance</w:t>
            </w:r>
          </w:p>
        </w:tc>
        <w:tc>
          <w:tcPr>
            <w:tcW w:w="1350" w:type="dxa"/>
            <w:shd w:val="clear" w:color="auto" w:fill="auto"/>
          </w:tcPr>
          <w:p w14:paraId="66FFF18A" w14:textId="0848E8BE"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$25 million</w:t>
            </w:r>
          </w:p>
        </w:tc>
        <w:tc>
          <w:tcPr>
            <w:tcW w:w="4315" w:type="dxa"/>
            <w:shd w:val="clear" w:color="auto" w:fill="auto"/>
          </w:tcPr>
          <w:p w14:paraId="03E21D25" w14:textId="1BC475AF" w:rsidR="00A85FC1"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A85FC1" w:rsidRPr="00AB04F8" w14:paraId="72C99D7C"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6DAA5012" w14:textId="402DFA31" w:rsidR="00A85FC1" w:rsidRPr="00AB04F8" w:rsidRDefault="00A85FC1" w:rsidP="000052D6">
            <w:pPr>
              <w:jc w:val="center"/>
              <w:rPr>
                <w:rFonts w:eastAsia="Times New Roman" w:cs="Times New Roman"/>
                <w:i/>
                <w:kern w:val="0"/>
                <w14:ligatures w14:val="none"/>
              </w:rPr>
            </w:pPr>
          </w:p>
        </w:tc>
        <w:tc>
          <w:tcPr>
            <w:tcW w:w="3240" w:type="dxa"/>
            <w:hideMark/>
          </w:tcPr>
          <w:p w14:paraId="39CEB4CE" w14:textId="2C84C63A"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Family Self Sufficiency</w:t>
            </w:r>
          </w:p>
        </w:tc>
        <w:tc>
          <w:tcPr>
            <w:tcW w:w="1350" w:type="dxa"/>
            <w:hideMark/>
          </w:tcPr>
          <w:p w14:paraId="49FB1CD3" w14:textId="55969ABA"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$125 million</w:t>
            </w:r>
          </w:p>
        </w:tc>
        <w:tc>
          <w:tcPr>
            <w:tcW w:w="4315" w:type="dxa"/>
            <w:hideMark/>
          </w:tcPr>
          <w:p w14:paraId="418DAA43" w14:textId="4CB373CD" w:rsidR="00A85FC1" w:rsidRPr="00AB04F8" w:rsidRDefault="00A85FC1" w:rsidP="00570AD5">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t>No change</w:t>
            </w:r>
          </w:p>
        </w:tc>
      </w:tr>
      <w:tr w:rsidR="00A85FC1" w:rsidRPr="00410934" w14:paraId="119AE4DA"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cPr>
          <w:p w14:paraId="3BAB9363" w14:textId="70BB5320" w:rsidR="00A85FC1" w:rsidRPr="00AB04F8" w:rsidRDefault="00A85FC1" w:rsidP="000052D6">
            <w:pPr>
              <w:jc w:val="center"/>
              <w:rPr>
                <w:rFonts w:eastAsia="Times New Roman" w:cs="Times New Roman"/>
                <w:i/>
                <w:kern w:val="0"/>
                <w14:ligatures w14:val="none"/>
              </w:rPr>
            </w:pPr>
          </w:p>
        </w:tc>
        <w:tc>
          <w:tcPr>
            <w:tcW w:w="3240" w:type="dxa"/>
            <w:hideMark/>
          </w:tcPr>
          <w:p w14:paraId="404201D3" w14:textId="722EB1B3"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Resident Opportunity and Self-Sufficiency (ROSS)</w:t>
            </w:r>
          </w:p>
        </w:tc>
        <w:tc>
          <w:tcPr>
            <w:tcW w:w="1350" w:type="dxa"/>
            <w:hideMark/>
          </w:tcPr>
          <w:p w14:paraId="3F4CD2B8" w14:textId="0DD9A458"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$35 Million</w:t>
            </w:r>
          </w:p>
        </w:tc>
        <w:tc>
          <w:tcPr>
            <w:tcW w:w="4315" w:type="dxa"/>
            <w:hideMark/>
          </w:tcPr>
          <w:p w14:paraId="013CB93C" w14:textId="339D9410" w:rsidR="00A85FC1" w:rsidRPr="00AB04F8" w:rsidRDefault="00A85FC1" w:rsidP="00570AD5">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t>No change</w:t>
            </w:r>
          </w:p>
        </w:tc>
      </w:tr>
      <w:tr w:rsidR="0058092D" w:rsidRPr="00AB04F8" w14:paraId="4640EC29" w14:textId="77777777" w:rsidTr="00CF1DF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hideMark/>
          </w:tcPr>
          <w:p w14:paraId="7E4A3F8E" w14:textId="77777777" w:rsidR="0058092D" w:rsidRPr="00133DA9" w:rsidRDefault="0058092D" w:rsidP="006A05D4">
            <w:pPr>
              <w:ind w:left="113" w:right="113"/>
              <w:jc w:val="center"/>
              <w:rPr>
                <w:rFonts w:eastAsia="Times New Roman" w:cs="Times New Roman"/>
                <w:i/>
                <w:iCs/>
                <w:kern w:val="0"/>
                <w14:ligatures w14:val="none"/>
              </w:rPr>
            </w:pPr>
            <w:r w:rsidRPr="00133DA9">
              <w:rPr>
                <w:rFonts w:eastAsia="Times New Roman" w:cs="Times New Roman"/>
                <w:i/>
                <w:iCs/>
                <w:kern w:val="0"/>
                <w14:ligatures w14:val="none"/>
              </w:rPr>
              <w:t>Treasury</w:t>
            </w:r>
          </w:p>
        </w:tc>
        <w:tc>
          <w:tcPr>
            <w:tcW w:w="3240" w:type="dxa"/>
          </w:tcPr>
          <w:p w14:paraId="7D676D0D" w14:textId="77777777" w:rsidR="0058092D" w:rsidRDefault="0058092D"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Community Development Financial Institution (CDFI) Fund</w:t>
            </w:r>
          </w:p>
          <w:p w14:paraId="4CECECC5" w14:textId="77777777" w:rsidR="00CF1DF4" w:rsidRDefault="00CF1DF4"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175376B" w14:textId="6F33AD9C" w:rsidR="00CF1DF4" w:rsidRPr="00AB04F8" w:rsidRDefault="00CF1DF4"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tc>
        <w:tc>
          <w:tcPr>
            <w:tcW w:w="1350" w:type="dxa"/>
          </w:tcPr>
          <w:p w14:paraId="08DBB34E" w14:textId="2C981F6D" w:rsidR="0058092D" w:rsidRPr="00AB04F8" w:rsidRDefault="0058092D"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$32</w:t>
            </w:r>
            <w:r>
              <w:rPr>
                <w:rFonts w:eastAsia="Times New Roman" w:cs="Times New Roman"/>
                <w:kern w:val="0"/>
                <w14:ligatures w14:val="none"/>
              </w:rPr>
              <w:t xml:space="preserve">4 </w:t>
            </w:r>
            <w:r w:rsidRPr="00AB04F8">
              <w:rPr>
                <w:rFonts w:eastAsia="Times New Roman" w:cs="Times New Roman"/>
                <w:kern w:val="0"/>
                <w14:ligatures w14:val="none"/>
              </w:rPr>
              <w:t>million</w:t>
            </w:r>
          </w:p>
        </w:tc>
        <w:tc>
          <w:tcPr>
            <w:tcW w:w="4315" w:type="dxa"/>
          </w:tcPr>
          <w:p w14:paraId="6F7A69FC" w14:textId="62FA65D9" w:rsidR="0058092D" w:rsidRPr="00AB04F8" w:rsidRDefault="0058092D"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t xml:space="preserve">Minimum Request </w:t>
            </w:r>
          </w:p>
        </w:tc>
      </w:tr>
      <w:tr w:rsidR="008424D7" w:rsidRPr="00AB04F8" w14:paraId="16428054" w14:textId="77777777" w:rsidTr="00CF1DF4">
        <w:trPr>
          <w:cantSplit/>
          <w:trHeight w:val="80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extDirection w:val="btLr"/>
            <w:vAlign w:val="center"/>
            <w:hideMark/>
          </w:tcPr>
          <w:p w14:paraId="6C15B845" w14:textId="77777777" w:rsidR="0058092D" w:rsidRPr="00133DA9" w:rsidRDefault="0058092D" w:rsidP="00CF1DF4">
            <w:pPr>
              <w:ind w:left="113" w:right="113"/>
              <w:jc w:val="center"/>
              <w:rPr>
                <w:rFonts w:eastAsia="Times New Roman" w:cs="Times New Roman"/>
                <w:i/>
                <w:iCs/>
                <w:kern w:val="0"/>
                <w14:ligatures w14:val="none"/>
              </w:rPr>
            </w:pPr>
            <w:r w:rsidRPr="00133DA9">
              <w:rPr>
                <w:rFonts w:eastAsia="Times New Roman" w:cs="Times New Roman"/>
                <w:i/>
                <w:iCs/>
                <w:kern w:val="0"/>
                <w14:ligatures w14:val="none"/>
              </w:rPr>
              <w:t>DOJ</w:t>
            </w:r>
          </w:p>
        </w:tc>
        <w:tc>
          <w:tcPr>
            <w:tcW w:w="3240" w:type="dxa"/>
          </w:tcPr>
          <w:p w14:paraId="184B31AB" w14:textId="3B221A16" w:rsidR="0058092D" w:rsidRPr="00AB04F8" w:rsidRDefault="0058092D"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Second Chance Act</w:t>
            </w:r>
            <w:r>
              <w:rPr>
                <w:rFonts w:eastAsia="Times New Roman" w:cs="Times New Roman"/>
                <w:kern w:val="0"/>
                <w14:ligatures w14:val="none"/>
              </w:rPr>
              <w:t xml:space="preserve"> – Pay for Success</w:t>
            </w:r>
          </w:p>
        </w:tc>
        <w:tc>
          <w:tcPr>
            <w:tcW w:w="1350" w:type="dxa"/>
            <w:shd w:val="clear" w:color="auto" w:fill="auto"/>
          </w:tcPr>
          <w:p w14:paraId="17BD37AD" w14:textId="264F992F" w:rsidR="0058092D" w:rsidRPr="00AB04F8" w:rsidRDefault="0058092D"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$7.5 million</w:t>
            </w:r>
          </w:p>
        </w:tc>
        <w:tc>
          <w:tcPr>
            <w:tcW w:w="4315" w:type="dxa"/>
          </w:tcPr>
          <w:p w14:paraId="510DB76C" w14:textId="56B455B9" w:rsidR="0058092D" w:rsidRPr="00AB04F8" w:rsidRDefault="0058092D"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t>No change: includes $5 million for supportive housing programs</w:t>
            </w:r>
          </w:p>
        </w:tc>
      </w:tr>
      <w:tr w:rsidR="0058092D" w:rsidRPr="00AB04F8" w14:paraId="798A1D52"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vAlign w:val="center"/>
            <w:hideMark/>
          </w:tcPr>
          <w:p w14:paraId="1B72D661" w14:textId="12AD4784" w:rsidR="0058092D" w:rsidRPr="00AB04F8" w:rsidRDefault="0058092D" w:rsidP="00CF1DF4">
            <w:pPr>
              <w:ind w:left="113" w:right="113"/>
              <w:jc w:val="center"/>
              <w:rPr>
                <w:rFonts w:eastAsia="Times New Roman" w:cs="Times New Roman"/>
                <w:i/>
                <w:kern w:val="0"/>
                <w14:ligatures w14:val="none"/>
              </w:rPr>
            </w:pPr>
            <w:r w:rsidRPr="00AB04F8">
              <w:rPr>
                <w:rFonts w:eastAsia="Times New Roman" w:cs="Times New Roman"/>
                <w:i/>
                <w:kern w:val="0"/>
                <w14:ligatures w14:val="none"/>
              </w:rPr>
              <w:t>HHS</w:t>
            </w:r>
            <w:r>
              <w:rPr>
                <w:rFonts w:eastAsia="Times New Roman" w:cs="Times New Roman"/>
                <w:i/>
                <w:kern w:val="0"/>
                <w14:ligatures w14:val="none"/>
              </w:rPr>
              <w:t>-S</w:t>
            </w:r>
            <w:r w:rsidRPr="00F65BA4">
              <w:rPr>
                <w:rFonts w:eastAsia="Times New Roman" w:cs="Times New Roman"/>
                <w:i/>
                <w:kern w:val="0"/>
                <w14:ligatures w14:val="none"/>
              </w:rPr>
              <w:t>AMHSA</w:t>
            </w:r>
          </w:p>
        </w:tc>
        <w:tc>
          <w:tcPr>
            <w:tcW w:w="3240" w:type="dxa"/>
          </w:tcPr>
          <w:p w14:paraId="1F9719D0" w14:textId="757F6A0B" w:rsidR="0058092D" w:rsidRPr="00AB04F8" w:rsidRDefault="0045039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 xml:space="preserve">Community </w:t>
            </w:r>
            <w:r w:rsidR="0058092D" w:rsidRPr="000A4B05">
              <w:rPr>
                <w:rFonts w:eastAsia="Times New Roman" w:cs="Times New Roman"/>
                <w:kern w:val="0"/>
                <w14:ligatures w14:val="none"/>
              </w:rPr>
              <w:t>Mental Health Services Block Grant</w:t>
            </w:r>
          </w:p>
        </w:tc>
        <w:tc>
          <w:tcPr>
            <w:tcW w:w="1350" w:type="dxa"/>
          </w:tcPr>
          <w:p w14:paraId="02C5FA7C" w14:textId="2261CA28" w:rsidR="0058092D" w:rsidRPr="00AB04F8" w:rsidRDefault="006E018E"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w:t>
            </w:r>
            <w:r w:rsidR="00450399">
              <w:rPr>
                <w:rFonts w:eastAsia="Times New Roman" w:cs="Times New Roman"/>
                <w:kern w:val="0"/>
                <w14:ligatures w14:val="none"/>
              </w:rPr>
              <w:t xml:space="preserve">1 billion </w:t>
            </w:r>
          </w:p>
        </w:tc>
        <w:tc>
          <w:tcPr>
            <w:tcW w:w="4315" w:type="dxa"/>
          </w:tcPr>
          <w:p w14:paraId="00272A30" w14:textId="20463E6A" w:rsidR="0058092D" w:rsidRPr="00AB04F8" w:rsidRDefault="0058092D"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t>No change</w:t>
            </w:r>
          </w:p>
        </w:tc>
      </w:tr>
      <w:tr w:rsidR="008424D7" w:rsidRPr="00410934" w14:paraId="15EAE27D"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4293D83B" w14:textId="0376482C" w:rsidR="0058092D" w:rsidRPr="00AB04F8" w:rsidRDefault="0058092D" w:rsidP="00CF1DF4">
            <w:pPr>
              <w:ind w:left="113" w:right="113"/>
              <w:jc w:val="center"/>
              <w:rPr>
                <w:rFonts w:eastAsia="Times New Roman" w:cs="Times New Roman"/>
                <w:i/>
                <w:kern w:val="0"/>
                <w14:ligatures w14:val="none"/>
              </w:rPr>
            </w:pPr>
          </w:p>
        </w:tc>
        <w:tc>
          <w:tcPr>
            <w:tcW w:w="3240" w:type="dxa"/>
          </w:tcPr>
          <w:p w14:paraId="3CDB2C6C" w14:textId="45EED7C7" w:rsidR="0058092D" w:rsidRPr="00AB04F8" w:rsidRDefault="0058092D"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 xml:space="preserve">Substance Use Prevention and Treatment </w:t>
            </w:r>
          </w:p>
        </w:tc>
        <w:tc>
          <w:tcPr>
            <w:tcW w:w="1350" w:type="dxa"/>
            <w:shd w:val="clear" w:color="auto" w:fill="auto"/>
          </w:tcPr>
          <w:p w14:paraId="3F43EEAC" w14:textId="549077AF" w:rsidR="0058092D" w:rsidRPr="00AB04F8" w:rsidRDefault="006A28A8"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w:t>
            </w:r>
            <w:r w:rsidR="00634B02">
              <w:rPr>
                <w:rFonts w:eastAsia="Times New Roman" w:cs="Times New Roman"/>
                <w:kern w:val="0"/>
                <w14:ligatures w14:val="none"/>
              </w:rPr>
              <w:t>4.6</w:t>
            </w:r>
            <w:r w:rsidR="009D7953">
              <w:rPr>
                <w:rFonts w:eastAsia="Times New Roman" w:cs="Times New Roman"/>
                <w:kern w:val="0"/>
                <w14:ligatures w14:val="none"/>
              </w:rPr>
              <w:t xml:space="preserve"> billion</w:t>
            </w:r>
          </w:p>
        </w:tc>
        <w:tc>
          <w:tcPr>
            <w:tcW w:w="4315" w:type="dxa"/>
          </w:tcPr>
          <w:p w14:paraId="2C28023F" w14:textId="33F560D8" w:rsidR="0058092D" w:rsidRPr="00AB04F8" w:rsidRDefault="00FC55FD"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58092D" w:rsidRPr="00AB04F8" w14:paraId="71467CF4"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6EFF8057" w14:textId="6BBB836B" w:rsidR="0058092D" w:rsidRPr="00AB04F8" w:rsidRDefault="0058092D" w:rsidP="00CF1DF4">
            <w:pPr>
              <w:ind w:left="113" w:right="113"/>
              <w:jc w:val="center"/>
              <w:rPr>
                <w:rFonts w:eastAsia="Times New Roman" w:cs="Times New Roman"/>
                <w:i/>
                <w:kern w:val="0"/>
                <w14:ligatures w14:val="none"/>
              </w:rPr>
            </w:pPr>
          </w:p>
        </w:tc>
        <w:tc>
          <w:tcPr>
            <w:tcW w:w="3240" w:type="dxa"/>
          </w:tcPr>
          <w:p w14:paraId="5AEB8CE1" w14:textId="2782A584" w:rsidR="0058092D" w:rsidRPr="00AB04F8" w:rsidRDefault="0058092D"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Projects for Assistance in Transition from Homelessness</w:t>
            </w:r>
          </w:p>
        </w:tc>
        <w:tc>
          <w:tcPr>
            <w:tcW w:w="1350" w:type="dxa"/>
          </w:tcPr>
          <w:p w14:paraId="19887692" w14:textId="5FF7B07D" w:rsidR="0058092D" w:rsidRPr="00AB04F8" w:rsidRDefault="000D3397"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w:t>
            </w:r>
            <w:r w:rsidR="00842357">
              <w:rPr>
                <w:rFonts w:eastAsia="Times New Roman" w:cs="Times New Roman"/>
                <w:kern w:val="0"/>
                <w14:ligatures w14:val="none"/>
              </w:rPr>
              <w:t>67</w:t>
            </w:r>
            <w:r>
              <w:rPr>
                <w:rFonts w:eastAsia="Times New Roman" w:cs="Times New Roman"/>
                <w:kern w:val="0"/>
                <w14:ligatures w14:val="none"/>
              </w:rPr>
              <w:t xml:space="preserve"> million</w:t>
            </w:r>
          </w:p>
        </w:tc>
        <w:tc>
          <w:tcPr>
            <w:tcW w:w="4315" w:type="dxa"/>
          </w:tcPr>
          <w:p w14:paraId="233988EC" w14:textId="35E45451" w:rsidR="0058092D" w:rsidRPr="00AB04F8" w:rsidRDefault="000D3397"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w:t>
            </w:r>
            <w:r w:rsidR="008F5545">
              <w:rPr>
                <w:rFonts w:eastAsia="Times New Roman" w:cs="Times New Roman"/>
                <w:kern w:val="0"/>
                <w14:ligatures w14:val="none"/>
              </w:rPr>
              <w:t>ge</w:t>
            </w:r>
          </w:p>
        </w:tc>
      </w:tr>
      <w:tr w:rsidR="008424D7" w:rsidRPr="00AB04F8" w14:paraId="6E9946DE"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11EBA9DE" w14:textId="13AD8BFF" w:rsidR="0058092D" w:rsidRPr="00F65BA4" w:rsidRDefault="0058092D" w:rsidP="00CF1DF4">
            <w:pPr>
              <w:ind w:left="113" w:right="113"/>
              <w:jc w:val="center"/>
              <w:rPr>
                <w:rFonts w:eastAsia="Times New Roman" w:cs="Times New Roman"/>
                <w:i/>
                <w:kern w:val="0"/>
                <w14:ligatures w14:val="none"/>
              </w:rPr>
            </w:pPr>
          </w:p>
        </w:tc>
        <w:tc>
          <w:tcPr>
            <w:tcW w:w="3240" w:type="dxa"/>
          </w:tcPr>
          <w:p w14:paraId="18E054CF" w14:textId="5A146ED3" w:rsidR="0058092D" w:rsidRPr="000A4B05" w:rsidRDefault="0058092D"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Certified Community Behavioral Health Clinics</w:t>
            </w:r>
          </w:p>
        </w:tc>
        <w:tc>
          <w:tcPr>
            <w:tcW w:w="1350" w:type="dxa"/>
            <w:shd w:val="clear" w:color="auto" w:fill="FFFFFF" w:themeFill="background1"/>
          </w:tcPr>
          <w:p w14:paraId="712254A6" w14:textId="5605BCB1" w:rsidR="0058092D" w:rsidRPr="000A4B05" w:rsidRDefault="00E34F82"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 xml:space="preserve">$385 million </w:t>
            </w:r>
          </w:p>
        </w:tc>
        <w:tc>
          <w:tcPr>
            <w:tcW w:w="4315" w:type="dxa"/>
          </w:tcPr>
          <w:p w14:paraId="4D166122" w14:textId="57C3F7F1" w:rsidR="0058092D" w:rsidRPr="000A4B05" w:rsidRDefault="004A0AAA"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w:t>
            </w:r>
            <w:r w:rsidR="006C449B">
              <w:rPr>
                <w:rFonts w:eastAsia="Times New Roman" w:cs="Times New Roman"/>
                <w:kern w:val="0"/>
                <w14:ligatures w14:val="none"/>
              </w:rPr>
              <w:t>ge</w:t>
            </w:r>
          </w:p>
        </w:tc>
      </w:tr>
      <w:tr w:rsidR="00034D39" w:rsidRPr="00AB04F8" w14:paraId="344C9291"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vAlign w:val="center"/>
          </w:tcPr>
          <w:p w14:paraId="419020F4" w14:textId="7470466C" w:rsidR="00034D39" w:rsidRPr="00F65BA4" w:rsidRDefault="00034D39" w:rsidP="00CF1DF4">
            <w:pPr>
              <w:ind w:left="113" w:right="113"/>
              <w:jc w:val="center"/>
              <w:rPr>
                <w:rFonts w:eastAsia="Times New Roman" w:cs="Times New Roman"/>
                <w:i/>
                <w:kern w:val="0"/>
                <w14:ligatures w14:val="none"/>
              </w:rPr>
            </w:pPr>
            <w:r w:rsidRPr="00F65BA4">
              <w:rPr>
                <w:rFonts w:eastAsia="Times New Roman" w:cs="Times New Roman"/>
                <w:i/>
                <w:kern w:val="0"/>
                <w14:ligatures w14:val="none"/>
              </w:rPr>
              <w:t>HHS</w:t>
            </w:r>
            <w:r>
              <w:rPr>
                <w:rFonts w:eastAsia="Times New Roman" w:cs="Times New Roman"/>
                <w:i/>
                <w:kern w:val="0"/>
                <w14:ligatures w14:val="none"/>
              </w:rPr>
              <w:t>-</w:t>
            </w:r>
            <w:r w:rsidRPr="00F65BA4">
              <w:rPr>
                <w:rFonts w:eastAsia="Times New Roman" w:cs="Times New Roman"/>
                <w:i/>
                <w:kern w:val="0"/>
                <w14:ligatures w14:val="none"/>
              </w:rPr>
              <w:t>HRSA</w:t>
            </w:r>
          </w:p>
        </w:tc>
        <w:tc>
          <w:tcPr>
            <w:tcW w:w="3240" w:type="dxa"/>
          </w:tcPr>
          <w:p w14:paraId="514D144B" w14:textId="663BB612" w:rsidR="00034D39" w:rsidRPr="000A4B05" w:rsidRDefault="00034D3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Community Health Centers</w:t>
            </w:r>
            <w:r>
              <w:rPr>
                <w:rFonts w:eastAsia="Times New Roman" w:cs="Times New Roman"/>
                <w:kern w:val="0"/>
                <w14:ligatures w14:val="none"/>
              </w:rPr>
              <w:t xml:space="preserve"> Programs</w:t>
            </w:r>
          </w:p>
        </w:tc>
        <w:tc>
          <w:tcPr>
            <w:tcW w:w="1350" w:type="dxa"/>
          </w:tcPr>
          <w:p w14:paraId="1510716B" w14:textId="3CA4DB6C" w:rsidR="00034D39" w:rsidRPr="000A4B05" w:rsidRDefault="00034D3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$1.9 billion</w:t>
            </w:r>
          </w:p>
        </w:tc>
        <w:tc>
          <w:tcPr>
            <w:tcW w:w="4315" w:type="dxa"/>
          </w:tcPr>
          <w:p w14:paraId="32DBC620" w14:textId="45F6A1E7" w:rsidR="00034D39" w:rsidRPr="000A4B05" w:rsidRDefault="00034D3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034D39" w:rsidRPr="00AB04F8" w14:paraId="3315B12F"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shd w:val="clear" w:color="auto" w:fill="F2F2F2" w:themeFill="background1" w:themeFillShade="F2"/>
            <w:textDirection w:val="btLr"/>
          </w:tcPr>
          <w:p w14:paraId="4D3AC6B3" w14:textId="2B45DDD9" w:rsidR="00034D39" w:rsidRPr="00F65BA4" w:rsidRDefault="00034D39" w:rsidP="00CF1DF4">
            <w:pPr>
              <w:ind w:left="113" w:right="113"/>
              <w:rPr>
                <w:rFonts w:eastAsia="Times New Roman" w:cs="Times New Roman"/>
                <w:i/>
                <w:kern w:val="0"/>
                <w14:ligatures w14:val="none"/>
              </w:rPr>
            </w:pPr>
          </w:p>
        </w:tc>
        <w:tc>
          <w:tcPr>
            <w:tcW w:w="3240" w:type="dxa"/>
            <w:shd w:val="clear" w:color="auto" w:fill="FFFFFF" w:themeFill="background1"/>
          </w:tcPr>
          <w:p w14:paraId="62E5AC53" w14:textId="6511C4B0" w:rsidR="00034D39" w:rsidRPr="000A4B05" w:rsidRDefault="00034D39"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Ryan White</w:t>
            </w:r>
            <w:r>
              <w:rPr>
                <w:rFonts w:eastAsia="Times New Roman" w:cs="Times New Roman"/>
                <w:kern w:val="0"/>
                <w14:ligatures w14:val="none"/>
              </w:rPr>
              <w:t xml:space="preserve"> HIV/AIDS Program</w:t>
            </w:r>
          </w:p>
        </w:tc>
        <w:tc>
          <w:tcPr>
            <w:tcW w:w="1350" w:type="dxa"/>
            <w:shd w:val="clear" w:color="auto" w:fill="FFFFFF" w:themeFill="background1"/>
          </w:tcPr>
          <w:p w14:paraId="2010CA31" w14:textId="2D8B526D" w:rsidR="00034D39" w:rsidRPr="000A4B05" w:rsidRDefault="00034D39"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$2.571 billion</w:t>
            </w:r>
          </w:p>
        </w:tc>
        <w:tc>
          <w:tcPr>
            <w:tcW w:w="4315" w:type="dxa"/>
            <w:shd w:val="clear" w:color="auto" w:fill="FFFFFF" w:themeFill="background1"/>
          </w:tcPr>
          <w:p w14:paraId="3F296BB4" w14:textId="0BAFBF32" w:rsidR="00034D39" w:rsidRPr="000A4B05" w:rsidRDefault="00034D39"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 xml:space="preserve">No change </w:t>
            </w:r>
          </w:p>
        </w:tc>
      </w:tr>
      <w:tr w:rsidR="00034D39" w:rsidRPr="00AB04F8" w14:paraId="34CFB6E8" w14:textId="77777777" w:rsidTr="00CF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45FF00B3" w14:textId="77777777" w:rsidR="00034D39" w:rsidRPr="00F65BA4" w:rsidRDefault="00034D39" w:rsidP="00CF1DF4">
            <w:pPr>
              <w:ind w:left="113" w:right="113"/>
              <w:rPr>
                <w:rFonts w:eastAsia="Times New Roman" w:cs="Times New Roman"/>
                <w:i/>
                <w:kern w:val="0"/>
                <w14:ligatures w14:val="none"/>
              </w:rPr>
            </w:pPr>
          </w:p>
        </w:tc>
        <w:tc>
          <w:tcPr>
            <w:tcW w:w="3240" w:type="dxa"/>
          </w:tcPr>
          <w:p w14:paraId="62CAB6D4" w14:textId="02F1E15E" w:rsidR="00034D39" w:rsidRPr="000A4B05" w:rsidRDefault="00034D3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Mater</w:t>
            </w:r>
            <w:r w:rsidR="00A045B7">
              <w:rPr>
                <w:rFonts w:eastAsia="Times New Roman" w:cs="Times New Roman"/>
                <w:kern w:val="0"/>
                <w14:ligatures w14:val="none"/>
              </w:rPr>
              <w:t>nal</w:t>
            </w:r>
            <w:r>
              <w:rPr>
                <w:rFonts w:eastAsia="Times New Roman" w:cs="Times New Roman"/>
                <w:kern w:val="0"/>
                <w14:ligatures w14:val="none"/>
              </w:rPr>
              <w:t xml:space="preserve"> and Child Health </w:t>
            </w:r>
            <w:r w:rsidR="00350798">
              <w:rPr>
                <w:rFonts w:eastAsia="Times New Roman" w:cs="Times New Roman"/>
                <w:kern w:val="0"/>
                <w14:ligatures w14:val="none"/>
              </w:rPr>
              <w:t>Block Grants</w:t>
            </w:r>
          </w:p>
        </w:tc>
        <w:tc>
          <w:tcPr>
            <w:tcW w:w="1350" w:type="dxa"/>
          </w:tcPr>
          <w:p w14:paraId="15D4E11F" w14:textId="6C1A26C3" w:rsidR="00034D39" w:rsidRDefault="00034D3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$1.</w:t>
            </w:r>
            <w:r w:rsidR="000F33AE">
              <w:rPr>
                <w:rFonts w:eastAsia="Times New Roman" w:cs="Times New Roman"/>
                <w:kern w:val="0"/>
                <w14:ligatures w14:val="none"/>
              </w:rPr>
              <w:t xml:space="preserve">17 </w:t>
            </w:r>
            <w:r>
              <w:rPr>
                <w:rFonts w:eastAsia="Times New Roman" w:cs="Times New Roman"/>
                <w:kern w:val="0"/>
                <w14:ligatures w14:val="none"/>
              </w:rPr>
              <w:t>billion</w:t>
            </w:r>
          </w:p>
        </w:tc>
        <w:tc>
          <w:tcPr>
            <w:tcW w:w="4315" w:type="dxa"/>
          </w:tcPr>
          <w:p w14:paraId="22CD30A4" w14:textId="2487BB4A" w:rsidR="00034D39" w:rsidRDefault="00034D39" w:rsidP="0058092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776A01" w:rsidRPr="00AB04F8" w14:paraId="33AA0E56" w14:textId="77777777" w:rsidTr="00CF1DF4">
        <w:tc>
          <w:tcPr>
            <w:cnfStyle w:val="001000000000" w:firstRow="0" w:lastRow="0" w:firstColumn="1" w:lastColumn="0" w:oddVBand="0" w:evenVBand="0" w:oddHBand="0" w:evenHBand="0" w:firstRowFirstColumn="0" w:firstRowLastColumn="0" w:lastRowFirstColumn="0" w:lastRowLastColumn="0"/>
            <w:tcW w:w="1165" w:type="dxa"/>
            <w:vMerge w:val="restart"/>
            <w:shd w:val="clear" w:color="auto" w:fill="F2F2F2" w:themeFill="background1" w:themeFillShade="F2"/>
            <w:textDirection w:val="btLr"/>
            <w:vAlign w:val="center"/>
          </w:tcPr>
          <w:p w14:paraId="3EC09C67" w14:textId="09AB09CA" w:rsidR="00776A01" w:rsidRPr="00F65BA4" w:rsidRDefault="00776A01" w:rsidP="00CF1DF4">
            <w:pPr>
              <w:ind w:left="113" w:right="113"/>
              <w:jc w:val="center"/>
              <w:rPr>
                <w:rFonts w:eastAsia="Times New Roman" w:cs="Times New Roman"/>
                <w:i/>
                <w:kern w:val="0"/>
                <w14:ligatures w14:val="none"/>
              </w:rPr>
            </w:pPr>
            <w:r w:rsidRPr="00F65BA4">
              <w:rPr>
                <w:rFonts w:eastAsia="Times New Roman" w:cs="Times New Roman"/>
                <w:i/>
                <w:kern w:val="0"/>
                <w14:ligatures w14:val="none"/>
              </w:rPr>
              <w:t>HHS</w:t>
            </w:r>
            <w:r>
              <w:rPr>
                <w:rFonts w:eastAsia="Times New Roman" w:cs="Times New Roman"/>
                <w:i/>
                <w:kern w:val="0"/>
                <w14:ligatures w14:val="none"/>
              </w:rPr>
              <w:t>-</w:t>
            </w:r>
            <w:r w:rsidRPr="00F65BA4">
              <w:rPr>
                <w:rFonts w:eastAsia="Times New Roman" w:cs="Times New Roman"/>
                <w:i/>
                <w:kern w:val="0"/>
                <w14:ligatures w14:val="none"/>
              </w:rPr>
              <w:t>ACF</w:t>
            </w:r>
          </w:p>
        </w:tc>
        <w:tc>
          <w:tcPr>
            <w:tcW w:w="3240" w:type="dxa"/>
            <w:shd w:val="clear" w:color="auto" w:fill="FFFFFF" w:themeFill="background1"/>
          </w:tcPr>
          <w:p w14:paraId="7E3CF28E" w14:textId="6C8E7D45" w:rsidR="00776A01" w:rsidRPr="000A4B05" w:rsidRDefault="00776A01"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Promoting Safe and Stable Families</w:t>
            </w:r>
            <w:r w:rsidR="004C3D2D">
              <w:rPr>
                <w:rFonts w:eastAsia="Times New Roman" w:cs="Times New Roman"/>
                <w:kern w:val="0"/>
                <w14:ligatures w14:val="none"/>
              </w:rPr>
              <w:t xml:space="preserve"> </w:t>
            </w:r>
          </w:p>
        </w:tc>
        <w:tc>
          <w:tcPr>
            <w:tcW w:w="1350" w:type="dxa"/>
            <w:shd w:val="clear" w:color="auto" w:fill="FFFFFF" w:themeFill="background1"/>
          </w:tcPr>
          <w:p w14:paraId="03323B4F" w14:textId="05D7C63A" w:rsidR="00776A01" w:rsidRPr="000A4B05" w:rsidRDefault="00776A01"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w:t>
            </w:r>
            <w:r w:rsidR="00071B5B">
              <w:rPr>
                <w:rFonts w:eastAsia="Times New Roman" w:cs="Times New Roman"/>
                <w:kern w:val="0"/>
                <w14:ligatures w14:val="none"/>
              </w:rPr>
              <w:t>63.1</w:t>
            </w:r>
            <w:r>
              <w:rPr>
                <w:rFonts w:eastAsia="Times New Roman" w:cs="Times New Roman"/>
                <w:kern w:val="0"/>
                <w14:ligatures w14:val="none"/>
              </w:rPr>
              <w:t xml:space="preserve"> million</w:t>
            </w:r>
          </w:p>
        </w:tc>
        <w:tc>
          <w:tcPr>
            <w:tcW w:w="4315" w:type="dxa"/>
            <w:shd w:val="clear" w:color="auto" w:fill="FFFFFF" w:themeFill="background1"/>
          </w:tcPr>
          <w:p w14:paraId="3919F3C8" w14:textId="0DCF3232" w:rsidR="00776A01" w:rsidRDefault="00776A01" w:rsidP="0058092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r w:rsidR="00FF2B14">
              <w:rPr>
                <w:rFonts w:eastAsia="Times New Roman" w:cs="Times New Roman"/>
                <w:kern w:val="0"/>
                <w14:ligatures w14:val="none"/>
              </w:rPr>
              <w:t xml:space="preserve"> – does not include mandatory funding requirements </w:t>
            </w:r>
          </w:p>
        </w:tc>
      </w:tr>
      <w:tr w:rsidR="00776A01" w:rsidRPr="00AB04F8" w14:paraId="082B2C0F" w14:textId="77777777" w:rsidTr="009F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extDirection w:val="btLr"/>
            <w:vAlign w:val="center"/>
          </w:tcPr>
          <w:p w14:paraId="3DDB3587" w14:textId="77777777" w:rsidR="00776A01" w:rsidRPr="00F65BA4" w:rsidRDefault="00776A01" w:rsidP="009F526C">
            <w:pPr>
              <w:ind w:left="113" w:right="113"/>
              <w:jc w:val="center"/>
              <w:rPr>
                <w:rFonts w:eastAsia="Times New Roman" w:cs="Times New Roman"/>
                <w:i/>
                <w:kern w:val="0"/>
                <w14:ligatures w14:val="none"/>
              </w:rPr>
            </w:pPr>
          </w:p>
        </w:tc>
        <w:tc>
          <w:tcPr>
            <w:tcW w:w="3240" w:type="dxa"/>
          </w:tcPr>
          <w:p w14:paraId="1DA15702" w14:textId="319F4824" w:rsidR="00776A01" w:rsidRDefault="00776A01"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Chafee Ed and Training Vouchers</w:t>
            </w:r>
          </w:p>
        </w:tc>
        <w:tc>
          <w:tcPr>
            <w:tcW w:w="1350" w:type="dxa"/>
          </w:tcPr>
          <w:p w14:paraId="5193AED5" w14:textId="469F4B91" w:rsidR="00776A01" w:rsidRDefault="00776A01"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$43 million</w:t>
            </w:r>
          </w:p>
        </w:tc>
        <w:tc>
          <w:tcPr>
            <w:tcW w:w="4315" w:type="dxa"/>
          </w:tcPr>
          <w:p w14:paraId="29A709AE" w14:textId="6822E63F" w:rsidR="00776A01" w:rsidRDefault="00776A01"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776A01" w:rsidRPr="00AB04F8" w14:paraId="7EAB6DA7" w14:textId="77777777" w:rsidTr="007D728C">
        <w:tc>
          <w:tcPr>
            <w:cnfStyle w:val="001000000000" w:firstRow="0" w:lastRow="0" w:firstColumn="1" w:lastColumn="0" w:oddVBand="0" w:evenVBand="0" w:oddHBand="0" w:evenHBand="0" w:firstRowFirstColumn="0" w:firstRowLastColumn="0" w:lastRowFirstColumn="0" w:lastRowLastColumn="0"/>
            <w:tcW w:w="1165" w:type="dxa"/>
            <w:vMerge/>
            <w:textDirection w:val="btLr"/>
            <w:vAlign w:val="center"/>
          </w:tcPr>
          <w:p w14:paraId="25AC8889" w14:textId="2D6A1E2F" w:rsidR="00776A01" w:rsidRPr="00F65BA4" w:rsidRDefault="00776A01" w:rsidP="009F526C">
            <w:pPr>
              <w:ind w:left="113" w:right="113"/>
              <w:jc w:val="center"/>
              <w:rPr>
                <w:rFonts w:eastAsia="Times New Roman" w:cs="Times New Roman"/>
                <w:i/>
                <w:kern w:val="0"/>
                <w14:ligatures w14:val="none"/>
              </w:rPr>
            </w:pPr>
          </w:p>
        </w:tc>
        <w:tc>
          <w:tcPr>
            <w:tcW w:w="3240" w:type="dxa"/>
          </w:tcPr>
          <w:p w14:paraId="66FEC470" w14:textId="4B7C024F" w:rsidR="00776A01" w:rsidRPr="000A4B05" w:rsidRDefault="00776A01"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Runaway and Homeless Youth</w:t>
            </w:r>
          </w:p>
        </w:tc>
        <w:tc>
          <w:tcPr>
            <w:tcW w:w="1350" w:type="dxa"/>
            <w:shd w:val="clear" w:color="auto" w:fill="FFFFFF" w:themeFill="background1"/>
          </w:tcPr>
          <w:p w14:paraId="56C2E044" w14:textId="6F717BEB" w:rsidR="00776A01" w:rsidRPr="000A4B05" w:rsidRDefault="00776A01"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$300 million</w:t>
            </w:r>
          </w:p>
        </w:tc>
        <w:tc>
          <w:tcPr>
            <w:tcW w:w="4315" w:type="dxa"/>
          </w:tcPr>
          <w:p w14:paraId="0D2279E8" w14:textId="6FABE3CC" w:rsidR="00776A01" w:rsidRPr="000A4B05" w:rsidRDefault="00776A01"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Suggested minimum: +$154 million to meet the needs of all eligible youth</w:t>
            </w:r>
          </w:p>
        </w:tc>
      </w:tr>
      <w:tr w:rsidR="00776A01" w:rsidRPr="00AB04F8" w14:paraId="5DC08E76" w14:textId="77777777" w:rsidTr="009F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5E5B57D5" w14:textId="77777777" w:rsidR="00776A01" w:rsidRPr="00F65BA4" w:rsidRDefault="00776A01" w:rsidP="009F526C">
            <w:pPr>
              <w:ind w:left="113" w:right="113"/>
              <w:jc w:val="center"/>
              <w:rPr>
                <w:rFonts w:eastAsia="Times New Roman" w:cs="Times New Roman"/>
                <w:i/>
                <w:kern w:val="0"/>
                <w14:ligatures w14:val="none"/>
              </w:rPr>
            </w:pPr>
          </w:p>
        </w:tc>
        <w:tc>
          <w:tcPr>
            <w:tcW w:w="3240" w:type="dxa"/>
          </w:tcPr>
          <w:p w14:paraId="71457891" w14:textId="304F0C03" w:rsidR="00776A01" w:rsidRPr="000A4B05" w:rsidRDefault="00776A01"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0A4B05">
              <w:rPr>
                <w:rFonts w:eastAsia="Times New Roman" w:cs="Times New Roman"/>
                <w:kern w:val="0"/>
                <w14:ligatures w14:val="none"/>
              </w:rPr>
              <w:t>Community Services Block Grant</w:t>
            </w:r>
          </w:p>
        </w:tc>
        <w:tc>
          <w:tcPr>
            <w:tcW w:w="1350" w:type="dxa"/>
          </w:tcPr>
          <w:p w14:paraId="112F4BFD" w14:textId="65720EF0" w:rsidR="00776A01" w:rsidRPr="000A4B05" w:rsidRDefault="00776A01"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$754 million</w:t>
            </w:r>
          </w:p>
        </w:tc>
        <w:tc>
          <w:tcPr>
            <w:tcW w:w="4315" w:type="dxa"/>
          </w:tcPr>
          <w:p w14:paraId="5E82DF62" w14:textId="6C01A3C8" w:rsidR="00776A01" w:rsidRPr="000A4B05" w:rsidRDefault="00776A01"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776A01" w:rsidRPr="00AB04F8" w14:paraId="6983C18B" w14:textId="77777777" w:rsidTr="009F526C">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7241ED26" w14:textId="77777777" w:rsidR="00776A01" w:rsidRPr="00F65BA4" w:rsidRDefault="00776A01" w:rsidP="009F526C">
            <w:pPr>
              <w:ind w:left="113" w:right="113"/>
              <w:jc w:val="center"/>
              <w:rPr>
                <w:rFonts w:eastAsia="Times New Roman" w:cs="Times New Roman"/>
                <w:i/>
                <w:kern w:val="0"/>
                <w14:ligatures w14:val="none"/>
              </w:rPr>
            </w:pPr>
          </w:p>
        </w:tc>
        <w:tc>
          <w:tcPr>
            <w:tcW w:w="3240" w:type="dxa"/>
          </w:tcPr>
          <w:p w14:paraId="6633BB1F" w14:textId="58F09B5A" w:rsidR="00776A01" w:rsidRPr="000A4B05" w:rsidRDefault="00776A01"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B04F8">
              <w:rPr>
                <w:rFonts w:eastAsia="Times New Roman" w:cs="Times New Roman"/>
                <w:kern w:val="0"/>
                <w14:ligatures w14:val="none"/>
              </w:rPr>
              <w:t>Low-Income Home Energy Assistance</w:t>
            </w:r>
          </w:p>
        </w:tc>
        <w:tc>
          <w:tcPr>
            <w:tcW w:w="1350" w:type="dxa"/>
            <w:shd w:val="clear" w:color="auto" w:fill="FFFFFF" w:themeFill="background1"/>
          </w:tcPr>
          <w:p w14:paraId="699E78E3" w14:textId="4098CCED" w:rsidR="00776A01" w:rsidRPr="000A4B05" w:rsidRDefault="00776A01"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$4.115 billion</w:t>
            </w:r>
          </w:p>
        </w:tc>
        <w:tc>
          <w:tcPr>
            <w:tcW w:w="4315" w:type="dxa"/>
          </w:tcPr>
          <w:p w14:paraId="7F909A7E" w14:textId="6A12C64D" w:rsidR="00776A01" w:rsidRPr="000A4B05" w:rsidRDefault="00776A01"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9F526C" w:rsidRPr="00410934" w14:paraId="394AE552" w14:textId="77777777" w:rsidTr="009F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vAlign w:val="center"/>
            <w:hideMark/>
          </w:tcPr>
          <w:p w14:paraId="383497D3" w14:textId="4D426AFE" w:rsidR="009F526C" w:rsidRPr="00AB04F8" w:rsidRDefault="009F526C" w:rsidP="009F526C">
            <w:pPr>
              <w:ind w:left="113" w:right="113"/>
              <w:jc w:val="center"/>
              <w:rPr>
                <w:rFonts w:eastAsia="Times New Roman" w:cs="Times New Roman"/>
                <w:i/>
                <w:kern w:val="0"/>
                <w14:ligatures w14:val="none"/>
              </w:rPr>
            </w:pPr>
            <w:r w:rsidRPr="00AB04F8">
              <w:rPr>
                <w:rFonts w:eastAsia="Times New Roman" w:cs="Times New Roman"/>
                <w:i/>
                <w:kern w:val="0"/>
                <w14:ligatures w14:val="none"/>
              </w:rPr>
              <w:t>HHS</w:t>
            </w:r>
            <w:r>
              <w:rPr>
                <w:rFonts w:eastAsia="Times New Roman" w:cs="Times New Roman"/>
                <w:i/>
                <w:kern w:val="0"/>
                <w14:ligatures w14:val="none"/>
              </w:rPr>
              <w:t>-ACL</w:t>
            </w:r>
          </w:p>
        </w:tc>
        <w:tc>
          <w:tcPr>
            <w:tcW w:w="3240" w:type="dxa"/>
          </w:tcPr>
          <w:p w14:paraId="5146DBEA" w14:textId="1C381BCD" w:rsidR="009F526C"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Older Americans Act –</w:t>
            </w:r>
          </w:p>
          <w:p w14:paraId="54B144CE" w14:textId="3412BC72" w:rsidR="009F526C" w:rsidRPr="00AB04F8"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Title III-B Supportive Services</w:t>
            </w:r>
          </w:p>
        </w:tc>
        <w:tc>
          <w:tcPr>
            <w:tcW w:w="1350" w:type="dxa"/>
          </w:tcPr>
          <w:p w14:paraId="2FA973CB" w14:textId="48FD3986" w:rsidR="009F526C" w:rsidRPr="00AB04F8"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$410 million</w:t>
            </w:r>
          </w:p>
        </w:tc>
        <w:tc>
          <w:tcPr>
            <w:tcW w:w="4315" w:type="dxa"/>
          </w:tcPr>
          <w:p w14:paraId="12CC0E3D" w14:textId="0385F48F" w:rsidR="009F526C" w:rsidRPr="00AB04F8"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9F526C" w:rsidRPr="00410934" w14:paraId="27ABEA38" w14:textId="77777777" w:rsidTr="009F526C">
        <w:tc>
          <w:tcPr>
            <w:cnfStyle w:val="001000000000" w:firstRow="0" w:lastRow="0" w:firstColumn="1" w:lastColumn="0" w:oddVBand="0" w:evenVBand="0" w:oddHBand="0" w:evenHBand="0" w:firstRowFirstColumn="0" w:firstRowLastColumn="0" w:lastRowFirstColumn="0" w:lastRowLastColumn="0"/>
            <w:tcW w:w="1165" w:type="dxa"/>
            <w:vMerge/>
          </w:tcPr>
          <w:p w14:paraId="362BCBE6" w14:textId="73F59D10" w:rsidR="009F526C" w:rsidRPr="00AB04F8" w:rsidRDefault="009F526C" w:rsidP="009F526C">
            <w:pPr>
              <w:jc w:val="center"/>
              <w:rPr>
                <w:rFonts w:eastAsia="Times New Roman" w:cs="Times New Roman"/>
                <w:i/>
                <w:kern w:val="0"/>
                <w14:ligatures w14:val="none"/>
              </w:rPr>
            </w:pPr>
          </w:p>
        </w:tc>
        <w:tc>
          <w:tcPr>
            <w:tcW w:w="3240" w:type="dxa"/>
          </w:tcPr>
          <w:p w14:paraId="4AF9BE13" w14:textId="77777777" w:rsidR="009F526C"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 xml:space="preserve">Older American Act – </w:t>
            </w:r>
          </w:p>
          <w:p w14:paraId="493A0C33" w14:textId="4C49EC44" w:rsidR="009F526C" w:rsidRPr="000A4B05"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Title III-E Caregiver Support</w:t>
            </w:r>
          </w:p>
        </w:tc>
        <w:tc>
          <w:tcPr>
            <w:tcW w:w="1350" w:type="dxa"/>
            <w:shd w:val="clear" w:color="auto" w:fill="FFFFFF" w:themeFill="background1"/>
          </w:tcPr>
          <w:p w14:paraId="52F2CB9B" w14:textId="6F940263" w:rsidR="009F526C" w:rsidRPr="000A4B05"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$205 million</w:t>
            </w:r>
          </w:p>
        </w:tc>
        <w:tc>
          <w:tcPr>
            <w:tcW w:w="4315" w:type="dxa"/>
          </w:tcPr>
          <w:p w14:paraId="4779D34C" w14:textId="199BD604" w:rsidR="009F526C" w:rsidRPr="000A4B05"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9F526C" w:rsidRPr="00410934" w14:paraId="40255686" w14:textId="77777777" w:rsidTr="009F5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14:paraId="6E4A8A7B" w14:textId="77777777" w:rsidR="009F526C" w:rsidRPr="00AB04F8" w:rsidRDefault="009F526C" w:rsidP="009F526C">
            <w:pPr>
              <w:jc w:val="center"/>
              <w:rPr>
                <w:rFonts w:eastAsia="Times New Roman" w:cs="Times New Roman"/>
                <w:i/>
                <w:kern w:val="0"/>
                <w14:ligatures w14:val="none"/>
              </w:rPr>
            </w:pPr>
          </w:p>
        </w:tc>
        <w:tc>
          <w:tcPr>
            <w:tcW w:w="3240" w:type="dxa"/>
          </w:tcPr>
          <w:p w14:paraId="53F0621B" w14:textId="77777777" w:rsidR="009F526C"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Older Americans Act –</w:t>
            </w:r>
          </w:p>
          <w:p w14:paraId="3CAF8905" w14:textId="4EA6392F" w:rsidR="009F526C"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Title VI Native American Programs</w:t>
            </w:r>
          </w:p>
        </w:tc>
        <w:tc>
          <w:tcPr>
            <w:tcW w:w="1350" w:type="dxa"/>
          </w:tcPr>
          <w:p w14:paraId="352853DE" w14:textId="34BA7C89" w:rsidR="009F526C"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 xml:space="preserve">$47.8 million </w:t>
            </w:r>
          </w:p>
        </w:tc>
        <w:tc>
          <w:tcPr>
            <w:tcW w:w="4315" w:type="dxa"/>
          </w:tcPr>
          <w:p w14:paraId="67263753" w14:textId="297753D6" w:rsidR="009F526C" w:rsidRPr="000A4B05" w:rsidRDefault="009F526C" w:rsidP="009F526C">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r w:rsidR="009F526C" w:rsidRPr="00410934" w14:paraId="7947010C" w14:textId="77777777" w:rsidTr="009F526C">
        <w:tc>
          <w:tcPr>
            <w:cnfStyle w:val="001000000000" w:firstRow="0" w:lastRow="0" w:firstColumn="1" w:lastColumn="0" w:oddVBand="0" w:evenVBand="0" w:oddHBand="0" w:evenHBand="0" w:firstRowFirstColumn="0" w:firstRowLastColumn="0" w:lastRowFirstColumn="0" w:lastRowLastColumn="0"/>
            <w:tcW w:w="1165" w:type="dxa"/>
            <w:vMerge/>
          </w:tcPr>
          <w:p w14:paraId="7BEC2706" w14:textId="77777777" w:rsidR="009F526C" w:rsidRPr="00AB04F8" w:rsidRDefault="009F526C" w:rsidP="009F526C">
            <w:pPr>
              <w:jc w:val="center"/>
              <w:rPr>
                <w:rFonts w:eastAsia="Times New Roman" w:cs="Times New Roman"/>
                <w:i/>
                <w:kern w:val="0"/>
                <w14:ligatures w14:val="none"/>
              </w:rPr>
            </w:pPr>
          </w:p>
        </w:tc>
        <w:tc>
          <w:tcPr>
            <w:tcW w:w="3240" w:type="dxa"/>
          </w:tcPr>
          <w:p w14:paraId="2DA20D30" w14:textId="03EA866D" w:rsidR="009F526C"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Workforce Innovation and Opportunity Act - Independent Living Programs</w:t>
            </w:r>
          </w:p>
        </w:tc>
        <w:tc>
          <w:tcPr>
            <w:tcW w:w="1350" w:type="dxa"/>
            <w:shd w:val="clear" w:color="auto" w:fill="FFFFFF" w:themeFill="background1"/>
          </w:tcPr>
          <w:p w14:paraId="3CE0B597" w14:textId="5733ACE2" w:rsidR="009F526C"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$269 million</w:t>
            </w:r>
          </w:p>
        </w:tc>
        <w:tc>
          <w:tcPr>
            <w:tcW w:w="4315" w:type="dxa"/>
          </w:tcPr>
          <w:p w14:paraId="13A342D1" w14:textId="747C4E27" w:rsidR="009F526C" w:rsidRPr="000A4B05" w:rsidRDefault="009F526C" w:rsidP="009F526C">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Pr>
                <w:rFonts w:eastAsia="Times New Roman" w:cs="Times New Roman"/>
                <w:kern w:val="0"/>
                <w14:ligatures w14:val="none"/>
              </w:rPr>
              <w:t>No change</w:t>
            </w:r>
          </w:p>
        </w:tc>
      </w:tr>
    </w:tbl>
    <w:p w14:paraId="7891EE0B" w14:textId="2E4D8621" w:rsidR="00D6693A" w:rsidRPr="00AB04F8" w:rsidRDefault="00D6693A" w:rsidP="00054AE2">
      <w:pPr>
        <w:spacing w:after="0"/>
        <w:rPr>
          <w:rFonts w:eastAsia="Times New Roman" w:cs="Times New Roman"/>
          <w:kern w:val="0"/>
          <w:sz w:val="28"/>
          <w:szCs w:val="28"/>
          <w:vertAlign w:val="superscript"/>
          <w14:ligatures w14:val="none"/>
        </w:rPr>
      </w:pPr>
    </w:p>
    <w:sectPr w:rsidR="00D6693A" w:rsidRPr="00AB04F8" w:rsidSect="004D256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3089D" w14:textId="77777777" w:rsidR="00C26181" w:rsidRDefault="00C26181" w:rsidP="007E67D5">
      <w:pPr>
        <w:spacing w:after="0" w:line="240" w:lineRule="auto"/>
      </w:pPr>
      <w:r>
        <w:separator/>
      </w:r>
    </w:p>
  </w:endnote>
  <w:endnote w:type="continuationSeparator" w:id="0">
    <w:p w14:paraId="13237D8B" w14:textId="77777777" w:rsidR="00C26181" w:rsidRDefault="00C26181" w:rsidP="007E67D5">
      <w:pPr>
        <w:spacing w:after="0" w:line="240" w:lineRule="auto"/>
      </w:pPr>
      <w:r>
        <w:continuationSeparator/>
      </w:r>
    </w:p>
  </w:endnote>
  <w:endnote w:id="1">
    <w:p w14:paraId="33BFDB9A" w14:textId="189CB439" w:rsidR="00BC7668" w:rsidRDefault="00BC7668">
      <w:pPr>
        <w:pStyle w:val="EndnoteText"/>
      </w:pPr>
      <w:r>
        <w:rPr>
          <w:rStyle w:val="EndnoteReference"/>
        </w:rPr>
        <w:endnoteRef/>
      </w:r>
      <w:r>
        <w:t xml:space="preserve"> </w:t>
      </w:r>
      <w:r w:rsidRPr="00BC7668">
        <w:t>Zillow Research. (2023). </w:t>
      </w:r>
      <w:r w:rsidRPr="00BC7668">
        <w:rPr>
          <w:i/>
          <w:iCs/>
        </w:rPr>
        <w:t>Zillow Observed Rent Index (ZORI)</w:t>
      </w:r>
      <w:r w:rsidRPr="00BC7668">
        <w:t>. Retrieved from https://www.zillow.com/research</w:t>
      </w:r>
    </w:p>
  </w:endnote>
  <w:endnote w:id="2">
    <w:p w14:paraId="0E34DE72" w14:textId="65E52075" w:rsidR="00B47819" w:rsidRDefault="00B47819">
      <w:pPr>
        <w:pStyle w:val="EndnoteText"/>
      </w:pPr>
      <w:r>
        <w:rPr>
          <w:rStyle w:val="EndnoteReference"/>
        </w:rPr>
        <w:endnoteRef/>
      </w:r>
      <w:r>
        <w:t xml:space="preserve"> </w:t>
      </w:r>
      <w:r w:rsidRPr="00B47819">
        <w:t>Zillow Research. (2018). </w:t>
      </w:r>
      <w:r w:rsidRPr="00B47819">
        <w:rPr>
          <w:i/>
          <w:iCs/>
        </w:rPr>
        <w:t>The Link Between Rising Rents and Homelessness</w:t>
      </w:r>
      <w:r w:rsidRPr="00B47819">
        <w:t>. Retrieved from https://www.zillow.com/research/homelessness-rent-affordability-22247</w:t>
      </w:r>
    </w:p>
  </w:endnote>
  <w:endnote w:id="3">
    <w:p w14:paraId="15CAD7E5" w14:textId="085BCE87" w:rsidR="006C7BDC" w:rsidRDefault="006C7BDC">
      <w:pPr>
        <w:pStyle w:val="EndnoteText"/>
      </w:pPr>
      <w:r>
        <w:rPr>
          <w:rStyle w:val="EndnoteReference"/>
        </w:rPr>
        <w:endnoteRef/>
      </w:r>
      <w:r>
        <w:t xml:space="preserve"> </w:t>
      </w:r>
      <w:r w:rsidRPr="006C7BDC">
        <w:t>U.S. Government Accountability Office. (2020). </w:t>
      </w:r>
      <w:r w:rsidRPr="006C7BDC">
        <w:rPr>
          <w:i/>
          <w:iCs/>
        </w:rPr>
        <w:t>Homelessness: Better HUD Oversight of Data Collection Could Improve Estimates of Homeless Population</w:t>
      </w:r>
      <w:r w:rsidRPr="006C7BDC">
        <w:t> (GAO-20-433). Retrieved from https://www.gao.gov/products/gao-20-433</w:t>
      </w:r>
    </w:p>
  </w:endnote>
  <w:endnote w:id="4">
    <w:p w14:paraId="5FA41488" w14:textId="5375421F" w:rsidR="005B7A5F" w:rsidRDefault="005B7A5F">
      <w:pPr>
        <w:pStyle w:val="EndnoteText"/>
      </w:pPr>
      <w:r>
        <w:rPr>
          <w:rStyle w:val="EndnoteReference"/>
        </w:rPr>
        <w:endnoteRef/>
      </w:r>
      <w:r>
        <w:t xml:space="preserve"> </w:t>
      </w:r>
      <w:r w:rsidR="003546C9">
        <w:t xml:space="preserve">CSH Supportive Housing Needs Assessment </w:t>
      </w:r>
      <w:r w:rsidR="003B0665">
        <w:t xml:space="preserve">(2023) Retrieved from </w:t>
      </w:r>
      <w:r w:rsidR="003B0665" w:rsidRPr="003B0665">
        <w:t>https://cshorg.wpengine.com/wp-content/uploads/2019/05/TOTAL_web.pdf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40394" w14:textId="77777777" w:rsidR="00C26181" w:rsidRDefault="00C26181" w:rsidP="007E67D5">
      <w:pPr>
        <w:spacing w:after="0" w:line="240" w:lineRule="auto"/>
      </w:pPr>
      <w:r>
        <w:separator/>
      </w:r>
    </w:p>
  </w:footnote>
  <w:footnote w:type="continuationSeparator" w:id="0">
    <w:p w14:paraId="31B759E0" w14:textId="77777777" w:rsidR="00C26181" w:rsidRDefault="00C26181" w:rsidP="007E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20F"/>
    <w:multiLevelType w:val="hybridMultilevel"/>
    <w:tmpl w:val="2CCE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1086A"/>
    <w:multiLevelType w:val="hybridMultilevel"/>
    <w:tmpl w:val="30CED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7223"/>
    <w:multiLevelType w:val="multilevel"/>
    <w:tmpl w:val="DC8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86A91"/>
    <w:multiLevelType w:val="multilevel"/>
    <w:tmpl w:val="2F2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A4238"/>
    <w:multiLevelType w:val="multilevel"/>
    <w:tmpl w:val="A48AC2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5063976"/>
    <w:multiLevelType w:val="multilevel"/>
    <w:tmpl w:val="666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83EC5"/>
    <w:multiLevelType w:val="multilevel"/>
    <w:tmpl w:val="7E3A1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34897"/>
    <w:multiLevelType w:val="multilevel"/>
    <w:tmpl w:val="0460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A6C59"/>
    <w:multiLevelType w:val="multilevel"/>
    <w:tmpl w:val="B140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70CAE"/>
    <w:multiLevelType w:val="multilevel"/>
    <w:tmpl w:val="A48AC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52872"/>
    <w:multiLevelType w:val="multilevel"/>
    <w:tmpl w:val="B94A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C32100"/>
    <w:multiLevelType w:val="multilevel"/>
    <w:tmpl w:val="468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85D83"/>
    <w:multiLevelType w:val="multilevel"/>
    <w:tmpl w:val="A48AC2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6853C89"/>
    <w:multiLevelType w:val="hybridMultilevel"/>
    <w:tmpl w:val="298C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910249">
    <w:abstractNumId w:val="7"/>
  </w:num>
  <w:num w:numId="2" w16cid:durableId="1366642383">
    <w:abstractNumId w:val="1"/>
  </w:num>
  <w:num w:numId="3" w16cid:durableId="1661957424">
    <w:abstractNumId w:val="6"/>
  </w:num>
  <w:num w:numId="4" w16cid:durableId="81143392">
    <w:abstractNumId w:val="13"/>
  </w:num>
  <w:num w:numId="5" w16cid:durableId="740711960">
    <w:abstractNumId w:val="4"/>
  </w:num>
  <w:num w:numId="6" w16cid:durableId="1082796928">
    <w:abstractNumId w:val="10"/>
  </w:num>
  <w:num w:numId="7" w16cid:durableId="776488661">
    <w:abstractNumId w:val="2"/>
  </w:num>
  <w:num w:numId="8" w16cid:durableId="861748709">
    <w:abstractNumId w:val="5"/>
  </w:num>
  <w:num w:numId="9" w16cid:durableId="1719085966">
    <w:abstractNumId w:val="8"/>
  </w:num>
  <w:num w:numId="10" w16cid:durableId="1394934833">
    <w:abstractNumId w:val="3"/>
  </w:num>
  <w:num w:numId="11" w16cid:durableId="1065177244">
    <w:abstractNumId w:val="9"/>
  </w:num>
  <w:num w:numId="12" w16cid:durableId="2103796834">
    <w:abstractNumId w:val="12"/>
  </w:num>
  <w:num w:numId="13" w16cid:durableId="271010423">
    <w:abstractNumId w:val="0"/>
  </w:num>
  <w:num w:numId="14" w16cid:durableId="385183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11"/>
    <w:rsid w:val="000007DD"/>
    <w:rsid w:val="00000ABF"/>
    <w:rsid w:val="000052D6"/>
    <w:rsid w:val="0001284C"/>
    <w:rsid w:val="000129A6"/>
    <w:rsid w:val="0001349C"/>
    <w:rsid w:val="00014683"/>
    <w:rsid w:val="00017DEC"/>
    <w:rsid w:val="00017EAD"/>
    <w:rsid w:val="000200EA"/>
    <w:rsid w:val="00025752"/>
    <w:rsid w:val="0002633E"/>
    <w:rsid w:val="00030238"/>
    <w:rsid w:val="0003244F"/>
    <w:rsid w:val="00032B09"/>
    <w:rsid w:val="000346DD"/>
    <w:rsid w:val="00034CAF"/>
    <w:rsid w:val="00034D39"/>
    <w:rsid w:val="00034E9E"/>
    <w:rsid w:val="00036C26"/>
    <w:rsid w:val="00040376"/>
    <w:rsid w:val="00041215"/>
    <w:rsid w:val="00042437"/>
    <w:rsid w:val="00043DCC"/>
    <w:rsid w:val="00045569"/>
    <w:rsid w:val="000510BA"/>
    <w:rsid w:val="00054AE2"/>
    <w:rsid w:val="00060A05"/>
    <w:rsid w:val="00061080"/>
    <w:rsid w:val="0006223E"/>
    <w:rsid w:val="000657B8"/>
    <w:rsid w:val="0006702A"/>
    <w:rsid w:val="0007149A"/>
    <w:rsid w:val="00071B5B"/>
    <w:rsid w:val="0007208F"/>
    <w:rsid w:val="00072356"/>
    <w:rsid w:val="00072D5E"/>
    <w:rsid w:val="00075B3C"/>
    <w:rsid w:val="00076C01"/>
    <w:rsid w:val="00082FA6"/>
    <w:rsid w:val="0008461D"/>
    <w:rsid w:val="00084F53"/>
    <w:rsid w:val="0008539F"/>
    <w:rsid w:val="000878A5"/>
    <w:rsid w:val="00087B9F"/>
    <w:rsid w:val="00087F69"/>
    <w:rsid w:val="0009217F"/>
    <w:rsid w:val="00092DF3"/>
    <w:rsid w:val="00093252"/>
    <w:rsid w:val="00093D5F"/>
    <w:rsid w:val="00094556"/>
    <w:rsid w:val="00094ECE"/>
    <w:rsid w:val="00096317"/>
    <w:rsid w:val="00097592"/>
    <w:rsid w:val="000A4B05"/>
    <w:rsid w:val="000A6AE1"/>
    <w:rsid w:val="000A7198"/>
    <w:rsid w:val="000B2604"/>
    <w:rsid w:val="000B3187"/>
    <w:rsid w:val="000B3193"/>
    <w:rsid w:val="000B38A8"/>
    <w:rsid w:val="000B6DE7"/>
    <w:rsid w:val="000B7031"/>
    <w:rsid w:val="000C1E28"/>
    <w:rsid w:val="000C48FD"/>
    <w:rsid w:val="000C5490"/>
    <w:rsid w:val="000C55CE"/>
    <w:rsid w:val="000C58FE"/>
    <w:rsid w:val="000C644F"/>
    <w:rsid w:val="000D1261"/>
    <w:rsid w:val="000D1541"/>
    <w:rsid w:val="000D3397"/>
    <w:rsid w:val="000D5523"/>
    <w:rsid w:val="000E115C"/>
    <w:rsid w:val="000F2F04"/>
    <w:rsid w:val="000F33AE"/>
    <w:rsid w:val="000F7D58"/>
    <w:rsid w:val="001002EF"/>
    <w:rsid w:val="001009AF"/>
    <w:rsid w:val="00101B4D"/>
    <w:rsid w:val="00105760"/>
    <w:rsid w:val="00107468"/>
    <w:rsid w:val="0011063E"/>
    <w:rsid w:val="0011242E"/>
    <w:rsid w:val="001145DE"/>
    <w:rsid w:val="00115509"/>
    <w:rsid w:val="0011716C"/>
    <w:rsid w:val="00117770"/>
    <w:rsid w:val="00117F06"/>
    <w:rsid w:val="00122F00"/>
    <w:rsid w:val="00127CA2"/>
    <w:rsid w:val="00130369"/>
    <w:rsid w:val="00132BB6"/>
    <w:rsid w:val="001333F5"/>
    <w:rsid w:val="00133764"/>
    <w:rsid w:val="00133DA9"/>
    <w:rsid w:val="00136832"/>
    <w:rsid w:val="001408AC"/>
    <w:rsid w:val="00141452"/>
    <w:rsid w:val="0014354B"/>
    <w:rsid w:val="00143789"/>
    <w:rsid w:val="001464BE"/>
    <w:rsid w:val="001502FE"/>
    <w:rsid w:val="001517B9"/>
    <w:rsid w:val="00151857"/>
    <w:rsid w:val="001529B5"/>
    <w:rsid w:val="00153220"/>
    <w:rsid w:val="001565D9"/>
    <w:rsid w:val="0015697D"/>
    <w:rsid w:val="00160450"/>
    <w:rsid w:val="00160C40"/>
    <w:rsid w:val="001614CC"/>
    <w:rsid w:val="001642A0"/>
    <w:rsid w:val="00166E89"/>
    <w:rsid w:val="00173A67"/>
    <w:rsid w:val="0017713C"/>
    <w:rsid w:val="0018058A"/>
    <w:rsid w:val="0018170E"/>
    <w:rsid w:val="0018412B"/>
    <w:rsid w:val="001850B4"/>
    <w:rsid w:val="0018568A"/>
    <w:rsid w:val="001858A5"/>
    <w:rsid w:val="00185F9C"/>
    <w:rsid w:val="00187139"/>
    <w:rsid w:val="00187961"/>
    <w:rsid w:val="00192B59"/>
    <w:rsid w:val="001935F3"/>
    <w:rsid w:val="0019748A"/>
    <w:rsid w:val="001974B0"/>
    <w:rsid w:val="001A0879"/>
    <w:rsid w:val="001A33C7"/>
    <w:rsid w:val="001A5029"/>
    <w:rsid w:val="001A77E3"/>
    <w:rsid w:val="001A7FB7"/>
    <w:rsid w:val="001B2D56"/>
    <w:rsid w:val="001B55EA"/>
    <w:rsid w:val="001C3B90"/>
    <w:rsid w:val="001C48A3"/>
    <w:rsid w:val="001C5357"/>
    <w:rsid w:val="001C69DC"/>
    <w:rsid w:val="001D1C8B"/>
    <w:rsid w:val="001D23B3"/>
    <w:rsid w:val="001D2E16"/>
    <w:rsid w:val="001D4474"/>
    <w:rsid w:val="001D75DA"/>
    <w:rsid w:val="001E0597"/>
    <w:rsid w:val="001F2A6D"/>
    <w:rsid w:val="001F34C2"/>
    <w:rsid w:val="001F3BA4"/>
    <w:rsid w:val="001F6901"/>
    <w:rsid w:val="001F6E72"/>
    <w:rsid w:val="00201F5A"/>
    <w:rsid w:val="00202392"/>
    <w:rsid w:val="002036B5"/>
    <w:rsid w:val="002058EA"/>
    <w:rsid w:val="0021294B"/>
    <w:rsid w:val="00213CC8"/>
    <w:rsid w:val="002143C1"/>
    <w:rsid w:val="00216110"/>
    <w:rsid w:val="00220F82"/>
    <w:rsid w:val="00224288"/>
    <w:rsid w:val="002242E1"/>
    <w:rsid w:val="00225802"/>
    <w:rsid w:val="00227DE8"/>
    <w:rsid w:val="00231795"/>
    <w:rsid w:val="002319F2"/>
    <w:rsid w:val="00234374"/>
    <w:rsid w:val="0024108C"/>
    <w:rsid w:val="0024146D"/>
    <w:rsid w:val="00241EE8"/>
    <w:rsid w:val="00242202"/>
    <w:rsid w:val="00250B77"/>
    <w:rsid w:val="00261165"/>
    <w:rsid w:val="00261613"/>
    <w:rsid w:val="0026274E"/>
    <w:rsid w:val="00265508"/>
    <w:rsid w:val="00266645"/>
    <w:rsid w:val="00270C58"/>
    <w:rsid w:val="00272E54"/>
    <w:rsid w:val="00282DB2"/>
    <w:rsid w:val="00285AD0"/>
    <w:rsid w:val="00287645"/>
    <w:rsid w:val="002908C7"/>
    <w:rsid w:val="00290D9C"/>
    <w:rsid w:val="002929A8"/>
    <w:rsid w:val="002A177A"/>
    <w:rsid w:val="002A6982"/>
    <w:rsid w:val="002A716E"/>
    <w:rsid w:val="002B2B37"/>
    <w:rsid w:val="002B3FFB"/>
    <w:rsid w:val="002B4890"/>
    <w:rsid w:val="002B4EDC"/>
    <w:rsid w:val="002B7946"/>
    <w:rsid w:val="002C0EDF"/>
    <w:rsid w:val="002C1EA7"/>
    <w:rsid w:val="002C20FD"/>
    <w:rsid w:val="002C39E8"/>
    <w:rsid w:val="002C54E6"/>
    <w:rsid w:val="002C5D15"/>
    <w:rsid w:val="002C7EC1"/>
    <w:rsid w:val="002D0CDA"/>
    <w:rsid w:val="002D1440"/>
    <w:rsid w:val="002D4F4A"/>
    <w:rsid w:val="002D60D7"/>
    <w:rsid w:val="002D7D3E"/>
    <w:rsid w:val="002D7EDB"/>
    <w:rsid w:val="002D7FD7"/>
    <w:rsid w:val="002D7FE1"/>
    <w:rsid w:val="002E44DD"/>
    <w:rsid w:val="002F0A84"/>
    <w:rsid w:val="002F1B46"/>
    <w:rsid w:val="002F2BEE"/>
    <w:rsid w:val="002F39A0"/>
    <w:rsid w:val="002F3D01"/>
    <w:rsid w:val="002F7C3A"/>
    <w:rsid w:val="00303E7D"/>
    <w:rsid w:val="003061E4"/>
    <w:rsid w:val="0030706A"/>
    <w:rsid w:val="003072D4"/>
    <w:rsid w:val="003104F9"/>
    <w:rsid w:val="00313712"/>
    <w:rsid w:val="00314324"/>
    <w:rsid w:val="00323118"/>
    <w:rsid w:val="003235DD"/>
    <w:rsid w:val="00324292"/>
    <w:rsid w:val="00324C43"/>
    <w:rsid w:val="00325DFB"/>
    <w:rsid w:val="0033244E"/>
    <w:rsid w:val="00333DC8"/>
    <w:rsid w:val="00336364"/>
    <w:rsid w:val="0034097D"/>
    <w:rsid w:val="00340DB3"/>
    <w:rsid w:val="0034137A"/>
    <w:rsid w:val="00343224"/>
    <w:rsid w:val="003443A9"/>
    <w:rsid w:val="00345D19"/>
    <w:rsid w:val="00350798"/>
    <w:rsid w:val="00350922"/>
    <w:rsid w:val="00351873"/>
    <w:rsid w:val="00353542"/>
    <w:rsid w:val="003546C9"/>
    <w:rsid w:val="00356DE1"/>
    <w:rsid w:val="00360B14"/>
    <w:rsid w:val="00361967"/>
    <w:rsid w:val="0036251E"/>
    <w:rsid w:val="00363C6C"/>
    <w:rsid w:val="00363EFE"/>
    <w:rsid w:val="00364368"/>
    <w:rsid w:val="003668AC"/>
    <w:rsid w:val="00367C0E"/>
    <w:rsid w:val="00375B2A"/>
    <w:rsid w:val="00375C38"/>
    <w:rsid w:val="0037628B"/>
    <w:rsid w:val="00376A06"/>
    <w:rsid w:val="003770F9"/>
    <w:rsid w:val="003852B7"/>
    <w:rsid w:val="00386AE9"/>
    <w:rsid w:val="00387DB2"/>
    <w:rsid w:val="003941DC"/>
    <w:rsid w:val="00396F00"/>
    <w:rsid w:val="003A17AC"/>
    <w:rsid w:val="003A1F98"/>
    <w:rsid w:val="003A2E61"/>
    <w:rsid w:val="003A3102"/>
    <w:rsid w:val="003A3DF6"/>
    <w:rsid w:val="003A5F6E"/>
    <w:rsid w:val="003A7020"/>
    <w:rsid w:val="003B0665"/>
    <w:rsid w:val="003B07A8"/>
    <w:rsid w:val="003B3775"/>
    <w:rsid w:val="003B4333"/>
    <w:rsid w:val="003B4761"/>
    <w:rsid w:val="003B50A8"/>
    <w:rsid w:val="003B64A6"/>
    <w:rsid w:val="003B7843"/>
    <w:rsid w:val="003C17AC"/>
    <w:rsid w:val="003C50BB"/>
    <w:rsid w:val="003C754D"/>
    <w:rsid w:val="003C7FCD"/>
    <w:rsid w:val="003E2569"/>
    <w:rsid w:val="003E4DCF"/>
    <w:rsid w:val="003E50E3"/>
    <w:rsid w:val="003E5442"/>
    <w:rsid w:val="003F009E"/>
    <w:rsid w:val="003F1D7C"/>
    <w:rsid w:val="003F3EF8"/>
    <w:rsid w:val="003F60E8"/>
    <w:rsid w:val="00401939"/>
    <w:rsid w:val="004025BE"/>
    <w:rsid w:val="0040692A"/>
    <w:rsid w:val="00406F47"/>
    <w:rsid w:val="00410532"/>
    <w:rsid w:val="00410934"/>
    <w:rsid w:val="00412078"/>
    <w:rsid w:val="00413CA0"/>
    <w:rsid w:val="00415182"/>
    <w:rsid w:val="00415E4A"/>
    <w:rsid w:val="004163E9"/>
    <w:rsid w:val="004215E1"/>
    <w:rsid w:val="00427068"/>
    <w:rsid w:val="00430576"/>
    <w:rsid w:val="00432862"/>
    <w:rsid w:val="00432DEC"/>
    <w:rsid w:val="004437D2"/>
    <w:rsid w:val="00444070"/>
    <w:rsid w:val="00445E27"/>
    <w:rsid w:val="004468CE"/>
    <w:rsid w:val="00447847"/>
    <w:rsid w:val="00450399"/>
    <w:rsid w:val="00451131"/>
    <w:rsid w:val="004604E4"/>
    <w:rsid w:val="00461E88"/>
    <w:rsid w:val="00465D29"/>
    <w:rsid w:val="004669E0"/>
    <w:rsid w:val="00467148"/>
    <w:rsid w:val="00467D99"/>
    <w:rsid w:val="00470349"/>
    <w:rsid w:val="004706DD"/>
    <w:rsid w:val="00474786"/>
    <w:rsid w:val="0047556C"/>
    <w:rsid w:val="00475BD8"/>
    <w:rsid w:val="00476924"/>
    <w:rsid w:val="004775F1"/>
    <w:rsid w:val="00481008"/>
    <w:rsid w:val="00482ACF"/>
    <w:rsid w:val="00484A77"/>
    <w:rsid w:val="00485A2F"/>
    <w:rsid w:val="004878AA"/>
    <w:rsid w:val="00487D32"/>
    <w:rsid w:val="00487DA1"/>
    <w:rsid w:val="004900CE"/>
    <w:rsid w:val="004920A8"/>
    <w:rsid w:val="00492D08"/>
    <w:rsid w:val="004A0AAA"/>
    <w:rsid w:val="004A2AD6"/>
    <w:rsid w:val="004A2CF7"/>
    <w:rsid w:val="004A5FC7"/>
    <w:rsid w:val="004A68F1"/>
    <w:rsid w:val="004A6FEB"/>
    <w:rsid w:val="004B2C7E"/>
    <w:rsid w:val="004B7039"/>
    <w:rsid w:val="004B7FD5"/>
    <w:rsid w:val="004C30D2"/>
    <w:rsid w:val="004C3D2D"/>
    <w:rsid w:val="004C7366"/>
    <w:rsid w:val="004D089C"/>
    <w:rsid w:val="004D0E7C"/>
    <w:rsid w:val="004D2495"/>
    <w:rsid w:val="004D2561"/>
    <w:rsid w:val="004D2952"/>
    <w:rsid w:val="004D31FB"/>
    <w:rsid w:val="004D3517"/>
    <w:rsid w:val="004D5521"/>
    <w:rsid w:val="004D6D2E"/>
    <w:rsid w:val="004E07AE"/>
    <w:rsid w:val="004E2B82"/>
    <w:rsid w:val="004E455F"/>
    <w:rsid w:val="004E5A9A"/>
    <w:rsid w:val="004F2E86"/>
    <w:rsid w:val="005008FC"/>
    <w:rsid w:val="00503259"/>
    <w:rsid w:val="00504F42"/>
    <w:rsid w:val="00512EF7"/>
    <w:rsid w:val="005205E4"/>
    <w:rsid w:val="005212BF"/>
    <w:rsid w:val="00524865"/>
    <w:rsid w:val="00530B20"/>
    <w:rsid w:val="005310E7"/>
    <w:rsid w:val="00532055"/>
    <w:rsid w:val="00532A4E"/>
    <w:rsid w:val="00533190"/>
    <w:rsid w:val="00533A36"/>
    <w:rsid w:val="0053422C"/>
    <w:rsid w:val="00535CEF"/>
    <w:rsid w:val="005375CE"/>
    <w:rsid w:val="00542006"/>
    <w:rsid w:val="00544B58"/>
    <w:rsid w:val="005451F1"/>
    <w:rsid w:val="005461E5"/>
    <w:rsid w:val="00546A33"/>
    <w:rsid w:val="00547AD9"/>
    <w:rsid w:val="005516D7"/>
    <w:rsid w:val="00551AC9"/>
    <w:rsid w:val="00555940"/>
    <w:rsid w:val="00555A4C"/>
    <w:rsid w:val="0056239E"/>
    <w:rsid w:val="0056373C"/>
    <w:rsid w:val="00563916"/>
    <w:rsid w:val="00563BC7"/>
    <w:rsid w:val="00564DD6"/>
    <w:rsid w:val="00566E24"/>
    <w:rsid w:val="00566EBF"/>
    <w:rsid w:val="005677F9"/>
    <w:rsid w:val="00567CC0"/>
    <w:rsid w:val="00570AD5"/>
    <w:rsid w:val="005762A0"/>
    <w:rsid w:val="0058092D"/>
    <w:rsid w:val="00582DCE"/>
    <w:rsid w:val="00584922"/>
    <w:rsid w:val="00586E59"/>
    <w:rsid w:val="00587499"/>
    <w:rsid w:val="00587B89"/>
    <w:rsid w:val="00590352"/>
    <w:rsid w:val="00592CB9"/>
    <w:rsid w:val="0059658C"/>
    <w:rsid w:val="0059766C"/>
    <w:rsid w:val="005977D0"/>
    <w:rsid w:val="005A0E2C"/>
    <w:rsid w:val="005A1328"/>
    <w:rsid w:val="005A3537"/>
    <w:rsid w:val="005A3619"/>
    <w:rsid w:val="005A37E3"/>
    <w:rsid w:val="005A5667"/>
    <w:rsid w:val="005A64AC"/>
    <w:rsid w:val="005A6826"/>
    <w:rsid w:val="005A73F5"/>
    <w:rsid w:val="005B3190"/>
    <w:rsid w:val="005B358E"/>
    <w:rsid w:val="005B3A27"/>
    <w:rsid w:val="005B3AB5"/>
    <w:rsid w:val="005B5E3E"/>
    <w:rsid w:val="005B7A5F"/>
    <w:rsid w:val="005C476F"/>
    <w:rsid w:val="005C59F7"/>
    <w:rsid w:val="005C642B"/>
    <w:rsid w:val="005D298C"/>
    <w:rsid w:val="005D2B06"/>
    <w:rsid w:val="005D5E6E"/>
    <w:rsid w:val="005E0CD6"/>
    <w:rsid w:val="005E1258"/>
    <w:rsid w:val="005E2542"/>
    <w:rsid w:val="005E4AD6"/>
    <w:rsid w:val="005E4FB3"/>
    <w:rsid w:val="005E63C1"/>
    <w:rsid w:val="005F0229"/>
    <w:rsid w:val="005F3F41"/>
    <w:rsid w:val="005F4840"/>
    <w:rsid w:val="005F6287"/>
    <w:rsid w:val="00600043"/>
    <w:rsid w:val="00600226"/>
    <w:rsid w:val="00601C22"/>
    <w:rsid w:val="00601EEB"/>
    <w:rsid w:val="0060231A"/>
    <w:rsid w:val="00602A7C"/>
    <w:rsid w:val="00604946"/>
    <w:rsid w:val="00604BD7"/>
    <w:rsid w:val="0060564B"/>
    <w:rsid w:val="006069E5"/>
    <w:rsid w:val="006104DF"/>
    <w:rsid w:val="00611147"/>
    <w:rsid w:val="00611197"/>
    <w:rsid w:val="00613CBB"/>
    <w:rsid w:val="00614776"/>
    <w:rsid w:val="00614D41"/>
    <w:rsid w:val="00617699"/>
    <w:rsid w:val="0062079C"/>
    <w:rsid w:val="00624796"/>
    <w:rsid w:val="00627E87"/>
    <w:rsid w:val="00630B89"/>
    <w:rsid w:val="00631689"/>
    <w:rsid w:val="00634B02"/>
    <w:rsid w:val="00635980"/>
    <w:rsid w:val="0064011E"/>
    <w:rsid w:val="00640A2B"/>
    <w:rsid w:val="00641793"/>
    <w:rsid w:val="00642785"/>
    <w:rsid w:val="00645D3E"/>
    <w:rsid w:val="00646E10"/>
    <w:rsid w:val="0065532C"/>
    <w:rsid w:val="00656996"/>
    <w:rsid w:val="00656EC9"/>
    <w:rsid w:val="00657E53"/>
    <w:rsid w:val="00661D18"/>
    <w:rsid w:val="006624AA"/>
    <w:rsid w:val="00667BDD"/>
    <w:rsid w:val="00671540"/>
    <w:rsid w:val="0067214B"/>
    <w:rsid w:val="006729BF"/>
    <w:rsid w:val="00674E8D"/>
    <w:rsid w:val="00675EB7"/>
    <w:rsid w:val="00677682"/>
    <w:rsid w:val="00680A8A"/>
    <w:rsid w:val="006841D9"/>
    <w:rsid w:val="00684EE3"/>
    <w:rsid w:val="00687F9C"/>
    <w:rsid w:val="00691E2D"/>
    <w:rsid w:val="00693624"/>
    <w:rsid w:val="00693DEC"/>
    <w:rsid w:val="00693E29"/>
    <w:rsid w:val="006977FD"/>
    <w:rsid w:val="00697AA4"/>
    <w:rsid w:val="006A05D4"/>
    <w:rsid w:val="006A1DDA"/>
    <w:rsid w:val="006A1FCC"/>
    <w:rsid w:val="006A28A8"/>
    <w:rsid w:val="006A30C1"/>
    <w:rsid w:val="006A61D4"/>
    <w:rsid w:val="006A6F06"/>
    <w:rsid w:val="006B1CE3"/>
    <w:rsid w:val="006B1F1D"/>
    <w:rsid w:val="006B260D"/>
    <w:rsid w:val="006B4058"/>
    <w:rsid w:val="006C449B"/>
    <w:rsid w:val="006C5664"/>
    <w:rsid w:val="006C7285"/>
    <w:rsid w:val="006C7BDC"/>
    <w:rsid w:val="006D1ED6"/>
    <w:rsid w:val="006D21FB"/>
    <w:rsid w:val="006D3ED2"/>
    <w:rsid w:val="006D4590"/>
    <w:rsid w:val="006D641D"/>
    <w:rsid w:val="006D77B0"/>
    <w:rsid w:val="006E018E"/>
    <w:rsid w:val="006E0582"/>
    <w:rsid w:val="006E1EA6"/>
    <w:rsid w:val="006E2E64"/>
    <w:rsid w:val="006E363F"/>
    <w:rsid w:val="006E5AF6"/>
    <w:rsid w:val="006E6485"/>
    <w:rsid w:val="006F1565"/>
    <w:rsid w:val="006F1E5A"/>
    <w:rsid w:val="006F2ACC"/>
    <w:rsid w:val="006F3720"/>
    <w:rsid w:val="006F4502"/>
    <w:rsid w:val="006F51CD"/>
    <w:rsid w:val="0070016D"/>
    <w:rsid w:val="00700431"/>
    <w:rsid w:val="00701FE0"/>
    <w:rsid w:val="00703676"/>
    <w:rsid w:val="00704EB1"/>
    <w:rsid w:val="00704F0D"/>
    <w:rsid w:val="007063BF"/>
    <w:rsid w:val="0071060D"/>
    <w:rsid w:val="00710843"/>
    <w:rsid w:val="007118F3"/>
    <w:rsid w:val="0071246E"/>
    <w:rsid w:val="00713634"/>
    <w:rsid w:val="00720308"/>
    <w:rsid w:val="00722CD7"/>
    <w:rsid w:val="0072365E"/>
    <w:rsid w:val="007238BC"/>
    <w:rsid w:val="00723D1A"/>
    <w:rsid w:val="007241C6"/>
    <w:rsid w:val="00725857"/>
    <w:rsid w:val="007260F2"/>
    <w:rsid w:val="007279B5"/>
    <w:rsid w:val="00731FED"/>
    <w:rsid w:val="00733F4E"/>
    <w:rsid w:val="00733F8B"/>
    <w:rsid w:val="00735605"/>
    <w:rsid w:val="00742CD2"/>
    <w:rsid w:val="0074355C"/>
    <w:rsid w:val="00745BD6"/>
    <w:rsid w:val="00746A72"/>
    <w:rsid w:val="00752385"/>
    <w:rsid w:val="00752D04"/>
    <w:rsid w:val="00762840"/>
    <w:rsid w:val="0076444E"/>
    <w:rsid w:val="007659A2"/>
    <w:rsid w:val="007662DD"/>
    <w:rsid w:val="007674E6"/>
    <w:rsid w:val="0077012E"/>
    <w:rsid w:val="00772EDA"/>
    <w:rsid w:val="00772FB1"/>
    <w:rsid w:val="00773C17"/>
    <w:rsid w:val="00773D84"/>
    <w:rsid w:val="00776A01"/>
    <w:rsid w:val="00781CF2"/>
    <w:rsid w:val="007830E2"/>
    <w:rsid w:val="00790976"/>
    <w:rsid w:val="00792210"/>
    <w:rsid w:val="0079470A"/>
    <w:rsid w:val="00796DD0"/>
    <w:rsid w:val="007975E2"/>
    <w:rsid w:val="007978DB"/>
    <w:rsid w:val="007A0940"/>
    <w:rsid w:val="007A2363"/>
    <w:rsid w:val="007A28E6"/>
    <w:rsid w:val="007A3F62"/>
    <w:rsid w:val="007A4277"/>
    <w:rsid w:val="007B57FC"/>
    <w:rsid w:val="007C0D81"/>
    <w:rsid w:val="007C2200"/>
    <w:rsid w:val="007C389C"/>
    <w:rsid w:val="007D04D3"/>
    <w:rsid w:val="007D3178"/>
    <w:rsid w:val="007D3732"/>
    <w:rsid w:val="007D728C"/>
    <w:rsid w:val="007D7A7D"/>
    <w:rsid w:val="007E1D24"/>
    <w:rsid w:val="007E67D5"/>
    <w:rsid w:val="007E6952"/>
    <w:rsid w:val="007E6F33"/>
    <w:rsid w:val="007F25F1"/>
    <w:rsid w:val="007F299E"/>
    <w:rsid w:val="007F4314"/>
    <w:rsid w:val="008002A9"/>
    <w:rsid w:val="00801DDD"/>
    <w:rsid w:val="00802133"/>
    <w:rsid w:val="008037F2"/>
    <w:rsid w:val="0080420D"/>
    <w:rsid w:val="00804E36"/>
    <w:rsid w:val="00805FF3"/>
    <w:rsid w:val="008074AC"/>
    <w:rsid w:val="008115C5"/>
    <w:rsid w:val="00813227"/>
    <w:rsid w:val="00814402"/>
    <w:rsid w:val="0081563D"/>
    <w:rsid w:val="00817843"/>
    <w:rsid w:val="008200FB"/>
    <w:rsid w:val="008227BC"/>
    <w:rsid w:val="0082386B"/>
    <w:rsid w:val="008251D9"/>
    <w:rsid w:val="008267D3"/>
    <w:rsid w:val="0082751D"/>
    <w:rsid w:val="0083070F"/>
    <w:rsid w:val="00833BA7"/>
    <w:rsid w:val="008343BB"/>
    <w:rsid w:val="008377EE"/>
    <w:rsid w:val="00841D93"/>
    <w:rsid w:val="00842357"/>
    <w:rsid w:val="008424D7"/>
    <w:rsid w:val="008425AE"/>
    <w:rsid w:val="00843B63"/>
    <w:rsid w:val="00847D6C"/>
    <w:rsid w:val="008504EE"/>
    <w:rsid w:val="0085478B"/>
    <w:rsid w:val="0085649C"/>
    <w:rsid w:val="00860453"/>
    <w:rsid w:val="00866684"/>
    <w:rsid w:val="008713B5"/>
    <w:rsid w:val="008729D9"/>
    <w:rsid w:val="00873B13"/>
    <w:rsid w:val="008757AF"/>
    <w:rsid w:val="00876DFB"/>
    <w:rsid w:val="00877557"/>
    <w:rsid w:val="00877C8B"/>
    <w:rsid w:val="00881CD5"/>
    <w:rsid w:val="008822C9"/>
    <w:rsid w:val="0088243A"/>
    <w:rsid w:val="00886302"/>
    <w:rsid w:val="00887F6B"/>
    <w:rsid w:val="0089415C"/>
    <w:rsid w:val="00894616"/>
    <w:rsid w:val="008952D0"/>
    <w:rsid w:val="00896A57"/>
    <w:rsid w:val="008A087F"/>
    <w:rsid w:val="008A17F0"/>
    <w:rsid w:val="008A1C93"/>
    <w:rsid w:val="008A2459"/>
    <w:rsid w:val="008A3748"/>
    <w:rsid w:val="008A45C6"/>
    <w:rsid w:val="008A5446"/>
    <w:rsid w:val="008A5645"/>
    <w:rsid w:val="008B0083"/>
    <w:rsid w:val="008B0719"/>
    <w:rsid w:val="008B107D"/>
    <w:rsid w:val="008B219C"/>
    <w:rsid w:val="008B39B4"/>
    <w:rsid w:val="008B3C45"/>
    <w:rsid w:val="008C7CB2"/>
    <w:rsid w:val="008D1CEF"/>
    <w:rsid w:val="008D2D13"/>
    <w:rsid w:val="008D40C6"/>
    <w:rsid w:val="008D5ADF"/>
    <w:rsid w:val="008D7A54"/>
    <w:rsid w:val="008D7D2D"/>
    <w:rsid w:val="008E0B25"/>
    <w:rsid w:val="008E163E"/>
    <w:rsid w:val="008E3871"/>
    <w:rsid w:val="008E3D3E"/>
    <w:rsid w:val="008E5817"/>
    <w:rsid w:val="008E69CD"/>
    <w:rsid w:val="008F29A6"/>
    <w:rsid w:val="008F5545"/>
    <w:rsid w:val="008F6E26"/>
    <w:rsid w:val="0090139A"/>
    <w:rsid w:val="00902A6F"/>
    <w:rsid w:val="00906661"/>
    <w:rsid w:val="00912DB9"/>
    <w:rsid w:val="0091397A"/>
    <w:rsid w:val="009143CC"/>
    <w:rsid w:val="00914C96"/>
    <w:rsid w:val="0092239F"/>
    <w:rsid w:val="00923481"/>
    <w:rsid w:val="00924999"/>
    <w:rsid w:val="00925092"/>
    <w:rsid w:val="00931A3E"/>
    <w:rsid w:val="00931E31"/>
    <w:rsid w:val="00932A11"/>
    <w:rsid w:val="0093761A"/>
    <w:rsid w:val="00940C05"/>
    <w:rsid w:val="0094292C"/>
    <w:rsid w:val="00942DA3"/>
    <w:rsid w:val="0094583A"/>
    <w:rsid w:val="00947D8A"/>
    <w:rsid w:val="009522BC"/>
    <w:rsid w:val="00954131"/>
    <w:rsid w:val="009575C9"/>
    <w:rsid w:val="009617BC"/>
    <w:rsid w:val="00962063"/>
    <w:rsid w:val="0096265A"/>
    <w:rsid w:val="00962EE8"/>
    <w:rsid w:val="00964345"/>
    <w:rsid w:val="00964DEA"/>
    <w:rsid w:val="00970C93"/>
    <w:rsid w:val="00972E4E"/>
    <w:rsid w:val="0097505A"/>
    <w:rsid w:val="0097551D"/>
    <w:rsid w:val="009758C5"/>
    <w:rsid w:val="009804D6"/>
    <w:rsid w:val="009826FD"/>
    <w:rsid w:val="009857C3"/>
    <w:rsid w:val="009901D5"/>
    <w:rsid w:val="00990253"/>
    <w:rsid w:val="009902E7"/>
    <w:rsid w:val="00993549"/>
    <w:rsid w:val="00994456"/>
    <w:rsid w:val="009950B8"/>
    <w:rsid w:val="00996208"/>
    <w:rsid w:val="009A4207"/>
    <w:rsid w:val="009A47EC"/>
    <w:rsid w:val="009A52E6"/>
    <w:rsid w:val="009A53EA"/>
    <w:rsid w:val="009A5BF5"/>
    <w:rsid w:val="009A7AE4"/>
    <w:rsid w:val="009B3394"/>
    <w:rsid w:val="009B72A3"/>
    <w:rsid w:val="009B7E1B"/>
    <w:rsid w:val="009C3E4B"/>
    <w:rsid w:val="009C5B08"/>
    <w:rsid w:val="009D517B"/>
    <w:rsid w:val="009D581D"/>
    <w:rsid w:val="009D5F9C"/>
    <w:rsid w:val="009D7953"/>
    <w:rsid w:val="009E1587"/>
    <w:rsid w:val="009E1E34"/>
    <w:rsid w:val="009E43FE"/>
    <w:rsid w:val="009E5A67"/>
    <w:rsid w:val="009F3B36"/>
    <w:rsid w:val="009F526C"/>
    <w:rsid w:val="009F7E5E"/>
    <w:rsid w:val="00A034A5"/>
    <w:rsid w:val="00A045B7"/>
    <w:rsid w:val="00A060A0"/>
    <w:rsid w:val="00A1098A"/>
    <w:rsid w:val="00A11543"/>
    <w:rsid w:val="00A14CBB"/>
    <w:rsid w:val="00A175AE"/>
    <w:rsid w:val="00A221F7"/>
    <w:rsid w:val="00A22B59"/>
    <w:rsid w:val="00A23139"/>
    <w:rsid w:val="00A24CFF"/>
    <w:rsid w:val="00A271CF"/>
    <w:rsid w:val="00A27C45"/>
    <w:rsid w:val="00A3580D"/>
    <w:rsid w:val="00A41BE2"/>
    <w:rsid w:val="00A43967"/>
    <w:rsid w:val="00A43A35"/>
    <w:rsid w:val="00A43E20"/>
    <w:rsid w:val="00A43FAC"/>
    <w:rsid w:val="00A44B53"/>
    <w:rsid w:val="00A4725C"/>
    <w:rsid w:val="00A5150A"/>
    <w:rsid w:val="00A537BF"/>
    <w:rsid w:val="00A53988"/>
    <w:rsid w:val="00A57F41"/>
    <w:rsid w:val="00A61781"/>
    <w:rsid w:val="00A62ECA"/>
    <w:rsid w:val="00A65C8E"/>
    <w:rsid w:val="00A663F4"/>
    <w:rsid w:val="00A669AC"/>
    <w:rsid w:val="00A70A4F"/>
    <w:rsid w:val="00A71F4E"/>
    <w:rsid w:val="00A73384"/>
    <w:rsid w:val="00A74C1B"/>
    <w:rsid w:val="00A755D5"/>
    <w:rsid w:val="00A772FF"/>
    <w:rsid w:val="00A80753"/>
    <w:rsid w:val="00A81716"/>
    <w:rsid w:val="00A81750"/>
    <w:rsid w:val="00A8189C"/>
    <w:rsid w:val="00A84279"/>
    <w:rsid w:val="00A85567"/>
    <w:rsid w:val="00A85FC1"/>
    <w:rsid w:val="00A922CD"/>
    <w:rsid w:val="00A92381"/>
    <w:rsid w:val="00A92D99"/>
    <w:rsid w:val="00A9534C"/>
    <w:rsid w:val="00A95935"/>
    <w:rsid w:val="00A96A9F"/>
    <w:rsid w:val="00A976B7"/>
    <w:rsid w:val="00AA1B6A"/>
    <w:rsid w:val="00AA1C48"/>
    <w:rsid w:val="00AA2A24"/>
    <w:rsid w:val="00AA53DC"/>
    <w:rsid w:val="00AA5AB6"/>
    <w:rsid w:val="00AA7998"/>
    <w:rsid w:val="00AA7D6A"/>
    <w:rsid w:val="00AB04F8"/>
    <w:rsid w:val="00AB0942"/>
    <w:rsid w:val="00AB1038"/>
    <w:rsid w:val="00AB4DCC"/>
    <w:rsid w:val="00AB66C8"/>
    <w:rsid w:val="00AC11DE"/>
    <w:rsid w:val="00AC2EBA"/>
    <w:rsid w:val="00AC53B7"/>
    <w:rsid w:val="00AD0B4C"/>
    <w:rsid w:val="00AD0D6C"/>
    <w:rsid w:val="00AD6D8C"/>
    <w:rsid w:val="00AE14CA"/>
    <w:rsid w:val="00AE5C7B"/>
    <w:rsid w:val="00AF47EF"/>
    <w:rsid w:val="00AF596F"/>
    <w:rsid w:val="00AF7697"/>
    <w:rsid w:val="00B0014B"/>
    <w:rsid w:val="00B03424"/>
    <w:rsid w:val="00B16533"/>
    <w:rsid w:val="00B21489"/>
    <w:rsid w:val="00B216BF"/>
    <w:rsid w:val="00B21B47"/>
    <w:rsid w:val="00B23ACF"/>
    <w:rsid w:val="00B27E41"/>
    <w:rsid w:val="00B31BA6"/>
    <w:rsid w:val="00B32477"/>
    <w:rsid w:val="00B35BEB"/>
    <w:rsid w:val="00B36602"/>
    <w:rsid w:val="00B450E1"/>
    <w:rsid w:val="00B45ABE"/>
    <w:rsid w:val="00B46C79"/>
    <w:rsid w:val="00B47171"/>
    <w:rsid w:val="00B47819"/>
    <w:rsid w:val="00B501B2"/>
    <w:rsid w:val="00B50AC8"/>
    <w:rsid w:val="00B51755"/>
    <w:rsid w:val="00B5330C"/>
    <w:rsid w:val="00B5DC12"/>
    <w:rsid w:val="00B63B18"/>
    <w:rsid w:val="00B664C3"/>
    <w:rsid w:val="00B679C6"/>
    <w:rsid w:val="00B67DAE"/>
    <w:rsid w:val="00B73CF7"/>
    <w:rsid w:val="00B760A3"/>
    <w:rsid w:val="00B80515"/>
    <w:rsid w:val="00B8765A"/>
    <w:rsid w:val="00B90023"/>
    <w:rsid w:val="00B95699"/>
    <w:rsid w:val="00B95B24"/>
    <w:rsid w:val="00BA1141"/>
    <w:rsid w:val="00BA3251"/>
    <w:rsid w:val="00BA39E6"/>
    <w:rsid w:val="00BA4732"/>
    <w:rsid w:val="00BA479F"/>
    <w:rsid w:val="00BA49E8"/>
    <w:rsid w:val="00BC124D"/>
    <w:rsid w:val="00BC279B"/>
    <w:rsid w:val="00BC3D1B"/>
    <w:rsid w:val="00BC4853"/>
    <w:rsid w:val="00BC5486"/>
    <w:rsid w:val="00BC7668"/>
    <w:rsid w:val="00BD1252"/>
    <w:rsid w:val="00BD1E99"/>
    <w:rsid w:val="00BD2CA1"/>
    <w:rsid w:val="00BD6829"/>
    <w:rsid w:val="00BD69FD"/>
    <w:rsid w:val="00BD7A16"/>
    <w:rsid w:val="00BE2E8F"/>
    <w:rsid w:val="00BE2FCA"/>
    <w:rsid w:val="00BE612F"/>
    <w:rsid w:val="00BF1748"/>
    <w:rsid w:val="00BF439B"/>
    <w:rsid w:val="00BF53BF"/>
    <w:rsid w:val="00BF75C4"/>
    <w:rsid w:val="00C009EC"/>
    <w:rsid w:val="00C00BA1"/>
    <w:rsid w:val="00C032F5"/>
    <w:rsid w:val="00C04F16"/>
    <w:rsid w:val="00C05A9F"/>
    <w:rsid w:val="00C11956"/>
    <w:rsid w:val="00C124BF"/>
    <w:rsid w:val="00C12C70"/>
    <w:rsid w:val="00C1444A"/>
    <w:rsid w:val="00C20C5A"/>
    <w:rsid w:val="00C21A7F"/>
    <w:rsid w:val="00C22C70"/>
    <w:rsid w:val="00C25DCD"/>
    <w:rsid w:val="00C26181"/>
    <w:rsid w:val="00C27592"/>
    <w:rsid w:val="00C32EB3"/>
    <w:rsid w:val="00C34E33"/>
    <w:rsid w:val="00C41B70"/>
    <w:rsid w:val="00C41D9D"/>
    <w:rsid w:val="00C4206D"/>
    <w:rsid w:val="00C4352B"/>
    <w:rsid w:val="00C46211"/>
    <w:rsid w:val="00C5006B"/>
    <w:rsid w:val="00C50F4C"/>
    <w:rsid w:val="00C5122D"/>
    <w:rsid w:val="00C5171D"/>
    <w:rsid w:val="00C53261"/>
    <w:rsid w:val="00C56711"/>
    <w:rsid w:val="00C57816"/>
    <w:rsid w:val="00C62EC1"/>
    <w:rsid w:val="00C63532"/>
    <w:rsid w:val="00C64BE5"/>
    <w:rsid w:val="00C64FD4"/>
    <w:rsid w:val="00C66850"/>
    <w:rsid w:val="00C705BD"/>
    <w:rsid w:val="00C7518B"/>
    <w:rsid w:val="00C75EDE"/>
    <w:rsid w:val="00C77C2D"/>
    <w:rsid w:val="00C8201C"/>
    <w:rsid w:val="00C82774"/>
    <w:rsid w:val="00C83030"/>
    <w:rsid w:val="00C830D2"/>
    <w:rsid w:val="00C85D22"/>
    <w:rsid w:val="00C86EBE"/>
    <w:rsid w:val="00C9047D"/>
    <w:rsid w:val="00C96C5D"/>
    <w:rsid w:val="00C96E76"/>
    <w:rsid w:val="00C9718B"/>
    <w:rsid w:val="00CA1899"/>
    <w:rsid w:val="00CA1E23"/>
    <w:rsid w:val="00CA330B"/>
    <w:rsid w:val="00CA355A"/>
    <w:rsid w:val="00CA397D"/>
    <w:rsid w:val="00CA52B1"/>
    <w:rsid w:val="00CA70F8"/>
    <w:rsid w:val="00CA7C6D"/>
    <w:rsid w:val="00CB0995"/>
    <w:rsid w:val="00CB11CF"/>
    <w:rsid w:val="00CB1A4F"/>
    <w:rsid w:val="00CB21C5"/>
    <w:rsid w:val="00CB375F"/>
    <w:rsid w:val="00CB44A1"/>
    <w:rsid w:val="00CB57CE"/>
    <w:rsid w:val="00CC224F"/>
    <w:rsid w:val="00CC2F88"/>
    <w:rsid w:val="00CC32E9"/>
    <w:rsid w:val="00CC66E9"/>
    <w:rsid w:val="00CC6D14"/>
    <w:rsid w:val="00CD277F"/>
    <w:rsid w:val="00CD360D"/>
    <w:rsid w:val="00CD40D5"/>
    <w:rsid w:val="00CD4DB2"/>
    <w:rsid w:val="00CD7AF5"/>
    <w:rsid w:val="00CE11B5"/>
    <w:rsid w:val="00CE5232"/>
    <w:rsid w:val="00CE524B"/>
    <w:rsid w:val="00CE66B2"/>
    <w:rsid w:val="00CE7D26"/>
    <w:rsid w:val="00CF07EC"/>
    <w:rsid w:val="00CF0945"/>
    <w:rsid w:val="00CF0DA8"/>
    <w:rsid w:val="00CF1DF4"/>
    <w:rsid w:val="00CF2D03"/>
    <w:rsid w:val="00CF55C6"/>
    <w:rsid w:val="00D021FD"/>
    <w:rsid w:val="00D0293D"/>
    <w:rsid w:val="00D02A2E"/>
    <w:rsid w:val="00D02B0D"/>
    <w:rsid w:val="00D03211"/>
    <w:rsid w:val="00D13780"/>
    <w:rsid w:val="00D14914"/>
    <w:rsid w:val="00D168C8"/>
    <w:rsid w:val="00D1741A"/>
    <w:rsid w:val="00D22BBF"/>
    <w:rsid w:val="00D248CF"/>
    <w:rsid w:val="00D26254"/>
    <w:rsid w:val="00D26FC0"/>
    <w:rsid w:val="00D310B3"/>
    <w:rsid w:val="00D316C9"/>
    <w:rsid w:val="00D32998"/>
    <w:rsid w:val="00D35295"/>
    <w:rsid w:val="00D37691"/>
    <w:rsid w:val="00D418FE"/>
    <w:rsid w:val="00D42DF6"/>
    <w:rsid w:val="00D43EF8"/>
    <w:rsid w:val="00D47CC4"/>
    <w:rsid w:val="00D5035B"/>
    <w:rsid w:val="00D5717B"/>
    <w:rsid w:val="00D572C9"/>
    <w:rsid w:val="00D57A2E"/>
    <w:rsid w:val="00D618E7"/>
    <w:rsid w:val="00D6220A"/>
    <w:rsid w:val="00D626B8"/>
    <w:rsid w:val="00D62910"/>
    <w:rsid w:val="00D62C6C"/>
    <w:rsid w:val="00D63361"/>
    <w:rsid w:val="00D65090"/>
    <w:rsid w:val="00D6693A"/>
    <w:rsid w:val="00D66EE7"/>
    <w:rsid w:val="00D675C9"/>
    <w:rsid w:val="00D6779C"/>
    <w:rsid w:val="00D70036"/>
    <w:rsid w:val="00D710DB"/>
    <w:rsid w:val="00D7339F"/>
    <w:rsid w:val="00D73BB8"/>
    <w:rsid w:val="00D75CD9"/>
    <w:rsid w:val="00D76789"/>
    <w:rsid w:val="00D82232"/>
    <w:rsid w:val="00D83569"/>
    <w:rsid w:val="00D84693"/>
    <w:rsid w:val="00D84F8E"/>
    <w:rsid w:val="00D85F39"/>
    <w:rsid w:val="00D8764F"/>
    <w:rsid w:val="00D909E6"/>
    <w:rsid w:val="00D916B3"/>
    <w:rsid w:val="00D9237C"/>
    <w:rsid w:val="00D929AA"/>
    <w:rsid w:val="00D934C5"/>
    <w:rsid w:val="00D938B0"/>
    <w:rsid w:val="00D95E4A"/>
    <w:rsid w:val="00D96E7E"/>
    <w:rsid w:val="00DA361F"/>
    <w:rsid w:val="00DA7E76"/>
    <w:rsid w:val="00DB0182"/>
    <w:rsid w:val="00DB037A"/>
    <w:rsid w:val="00DB3CBC"/>
    <w:rsid w:val="00DB3FA0"/>
    <w:rsid w:val="00DB546E"/>
    <w:rsid w:val="00DB6725"/>
    <w:rsid w:val="00DC1EF5"/>
    <w:rsid w:val="00DC4C89"/>
    <w:rsid w:val="00DC6254"/>
    <w:rsid w:val="00DD2043"/>
    <w:rsid w:val="00DD55E5"/>
    <w:rsid w:val="00DD6B8C"/>
    <w:rsid w:val="00DE2022"/>
    <w:rsid w:val="00DE24EE"/>
    <w:rsid w:val="00DE29C0"/>
    <w:rsid w:val="00DE36A7"/>
    <w:rsid w:val="00DE4C83"/>
    <w:rsid w:val="00DE543A"/>
    <w:rsid w:val="00DE6E2C"/>
    <w:rsid w:val="00DE70AD"/>
    <w:rsid w:val="00DF060D"/>
    <w:rsid w:val="00DF6827"/>
    <w:rsid w:val="00DF7108"/>
    <w:rsid w:val="00DF7CAC"/>
    <w:rsid w:val="00E00527"/>
    <w:rsid w:val="00E00FB9"/>
    <w:rsid w:val="00E024E5"/>
    <w:rsid w:val="00E04476"/>
    <w:rsid w:val="00E0716A"/>
    <w:rsid w:val="00E116F1"/>
    <w:rsid w:val="00E131C1"/>
    <w:rsid w:val="00E206BD"/>
    <w:rsid w:val="00E21798"/>
    <w:rsid w:val="00E22B6F"/>
    <w:rsid w:val="00E236FC"/>
    <w:rsid w:val="00E30D22"/>
    <w:rsid w:val="00E34F82"/>
    <w:rsid w:val="00E35645"/>
    <w:rsid w:val="00E35CDD"/>
    <w:rsid w:val="00E37459"/>
    <w:rsid w:val="00E374AF"/>
    <w:rsid w:val="00E405BD"/>
    <w:rsid w:val="00E414E4"/>
    <w:rsid w:val="00E42B4D"/>
    <w:rsid w:val="00E440E0"/>
    <w:rsid w:val="00E4465B"/>
    <w:rsid w:val="00E45781"/>
    <w:rsid w:val="00E564A9"/>
    <w:rsid w:val="00E60410"/>
    <w:rsid w:val="00E60C4E"/>
    <w:rsid w:val="00E61568"/>
    <w:rsid w:val="00E61E0B"/>
    <w:rsid w:val="00E62839"/>
    <w:rsid w:val="00E63076"/>
    <w:rsid w:val="00E64962"/>
    <w:rsid w:val="00E66A25"/>
    <w:rsid w:val="00E66F93"/>
    <w:rsid w:val="00E671BA"/>
    <w:rsid w:val="00E708C6"/>
    <w:rsid w:val="00E70C46"/>
    <w:rsid w:val="00E720AF"/>
    <w:rsid w:val="00E727F5"/>
    <w:rsid w:val="00E73792"/>
    <w:rsid w:val="00E7379E"/>
    <w:rsid w:val="00E81B1F"/>
    <w:rsid w:val="00E82991"/>
    <w:rsid w:val="00E86739"/>
    <w:rsid w:val="00E9387F"/>
    <w:rsid w:val="00E96513"/>
    <w:rsid w:val="00EA260F"/>
    <w:rsid w:val="00EA2C24"/>
    <w:rsid w:val="00EA3D14"/>
    <w:rsid w:val="00EA711D"/>
    <w:rsid w:val="00EB3AE0"/>
    <w:rsid w:val="00EB6B1B"/>
    <w:rsid w:val="00EC272C"/>
    <w:rsid w:val="00EC2FB1"/>
    <w:rsid w:val="00EC477F"/>
    <w:rsid w:val="00EC4A94"/>
    <w:rsid w:val="00ED07B3"/>
    <w:rsid w:val="00ED0FBA"/>
    <w:rsid w:val="00ED2FD5"/>
    <w:rsid w:val="00ED3FB6"/>
    <w:rsid w:val="00ED4245"/>
    <w:rsid w:val="00ED49D5"/>
    <w:rsid w:val="00EE131D"/>
    <w:rsid w:val="00EE1634"/>
    <w:rsid w:val="00EE179F"/>
    <w:rsid w:val="00EE303C"/>
    <w:rsid w:val="00EF0C0A"/>
    <w:rsid w:val="00EF0F79"/>
    <w:rsid w:val="00EF3C2C"/>
    <w:rsid w:val="00F024D9"/>
    <w:rsid w:val="00F044E4"/>
    <w:rsid w:val="00F05550"/>
    <w:rsid w:val="00F06580"/>
    <w:rsid w:val="00F07D07"/>
    <w:rsid w:val="00F11904"/>
    <w:rsid w:val="00F12E53"/>
    <w:rsid w:val="00F137FD"/>
    <w:rsid w:val="00F139F3"/>
    <w:rsid w:val="00F15560"/>
    <w:rsid w:val="00F17A3C"/>
    <w:rsid w:val="00F222F6"/>
    <w:rsid w:val="00F312C5"/>
    <w:rsid w:val="00F316E1"/>
    <w:rsid w:val="00F32019"/>
    <w:rsid w:val="00F35833"/>
    <w:rsid w:val="00F41BB6"/>
    <w:rsid w:val="00F4200B"/>
    <w:rsid w:val="00F4438E"/>
    <w:rsid w:val="00F51F3B"/>
    <w:rsid w:val="00F52AEC"/>
    <w:rsid w:val="00F53E7A"/>
    <w:rsid w:val="00F53F99"/>
    <w:rsid w:val="00F55E5A"/>
    <w:rsid w:val="00F561E5"/>
    <w:rsid w:val="00F57FD4"/>
    <w:rsid w:val="00F608E6"/>
    <w:rsid w:val="00F62204"/>
    <w:rsid w:val="00F624AD"/>
    <w:rsid w:val="00F650E6"/>
    <w:rsid w:val="00F6544B"/>
    <w:rsid w:val="00F65BA4"/>
    <w:rsid w:val="00F65CA6"/>
    <w:rsid w:val="00F66896"/>
    <w:rsid w:val="00F7142F"/>
    <w:rsid w:val="00F74564"/>
    <w:rsid w:val="00F774DA"/>
    <w:rsid w:val="00F77AC6"/>
    <w:rsid w:val="00F81F36"/>
    <w:rsid w:val="00F8493D"/>
    <w:rsid w:val="00F94D50"/>
    <w:rsid w:val="00F9624E"/>
    <w:rsid w:val="00F97CF4"/>
    <w:rsid w:val="00FA1BB7"/>
    <w:rsid w:val="00FA224F"/>
    <w:rsid w:val="00FA29CA"/>
    <w:rsid w:val="00FA3E1F"/>
    <w:rsid w:val="00FA5410"/>
    <w:rsid w:val="00FA6917"/>
    <w:rsid w:val="00FB39A7"/>
    <w:rsid w:val="00FC00CC"/>
    <w:rsid w:val="00FC4B6D"/>
    <w:rsid w:val="00FC55FD"/>
    <w:rsid w:val="00FC7181"/>
    <w:rsid w:val="00FD1F61"/>
    <w:rsid w:val="00FE0062"/>
    <w:rsid w:val="00FE1A5B"/>
    <w:rsid w:val="00FE3080"/>
    <w:rsid w:val="00FE4C40"/>
    <w:rsid w:val="00FE5622"/>
    <w:rsid w:val="00FF05DA"/>
    <w:rsid w:val="00FF270A"/>
    <w:rsid w:val="00FF2B14"/>
    <w:rsid w:val="00FF3779"/>
    <w:rsid w:val="026EF766"/>
    <w:rsid w:val="02CC9028"/>
    <w:rsid w:val="03A653FE"/>
    <w:rsid w:val="048CA892"/>
    <w:rsid w:val="04D299BA"/>
    <w:rsid w:val="05F4ACBE"/>
    <w:rsid w:val="06AB549F"/>
    <w:rsid w:val="080CE437"/>
    <w:rsid w:val="084437EB"/>
    <w:rsid w:val="09AFB11A"/>
    <w:rsid w:val="0A46B54B"/>
    <w:rsid w:val="0A76D139"/>
    <w:rsid w:val="0AA70D38"/>
    <w:rsid w:val="0EF75786"/>
    <w:rsid w:val="1377F41E"/>
    <w:rsid w:val="139670AE"/>
    <w:rsid w:val="1777BF97"/>
    <w:rsid w:val="1B6BDD8A"/>
    <w:rsid w:val="1D1F9C04"/>
    <w:rsid w:val="1E1567F8"/>
    <w:rsid w:val="1E4C6F2F"/>
    <w:rsid w:val="1FCDD136"/>
    <w:rsid w:val="1FE8D891"/>
    <w:rsid w:val="2066EAE7"/>
    <w:rsid w:val="20BA4F93"/>
    <w:rsid w:val="20C9C156"/>
    <w:rsid w:val="20E7C916"/>
    <w:rsid w:val="22101AB9"/>
    <w:rsid w:val="2299710E"/>
    <w:rsid w:val="22FEA1B1"/>
    <w:rsid w:val="239AED29"/>
    <w:rsid w:val="24A78F08"/>
    <w:rsid w:val="25ADD368"/>
    <w:rsid w:val="25E30993"/>
    <w:rsid w:val="26B18B9B"/>
    <w:rsid w:val="2732E374"/>
    <w:rsid w:val="28E550C4"/>
    <w:rsid w:val="2B600391"/>
    <w:rsid w:val="2C780200"/>
    <w:rsid w:val="2C9A73C1"/>
    <w:rsid w:val="2FA55F1B"/>
    <w:rsid w:val="3085916F"/>
    <w:rsid w:val="312EA41F"/>
    <w:rsid w:val="352BDA60"/>
    <w:rsid w:val="39B11867"/>
    <w:rsid w:val="3A21B087"/>
    <w:rsid w:val="3A3F3754"/>
    <w:rsid w:val="3B703501"/>
    <w:rsid w:val="3BC54F0A"/>
    <w:rsid w:val="3D2E3F3F"/>
    <w:rsid w:val="3DBDFA79"/>
    <w:rsid w:val="411B1852"/>
    <w:rsid w:val="420E586B"/>
    <w:rsid w:val="43CE6A29"/>
    <w:rsid w:val="45D17267"/>
    <w:rsid w:val="4686B871"/>
    <w:rsid w:val="4C386F49"/>
    <w:rsid w:val="4C4A7C4B"/>
    <w:rsid w:val="4C7B74E9"/>
    <w:rsid w:val="4CAA696A"/>
    <w:rsid w:val="4D001A92"/>
    <w:rsid w:val="4D88880A"/>
    <w:rsid w:val="4E2C1BC0"/>
    <w:rsid w:val="517F197B"/>
    <w:rsid w:val="52B11030"/>
    <w:rsid w:val="53B49461"/>
    <w:rsid w:val="568807DC"/>
    <w:rsid w:val="56BA2C69"/>
    <w:rsid w:val="57833DFC"/>
    <w:rsid w:val="57DEF485"/>
    <w:rsid w:val="5808561A"/>
    <w:rsid w:val="5888722E"/>
    <w:rsid w:val="5A39EC6B"/>
    <w:rsid w:val="5A7C4687"/>
    <w:rsid w:val="5BA82E09"/>
    <w:rsid w:val="5C96C5FE"/>
    <w:rsid w:val="5EACFBCC"/>
    <w:rsid w:val="5EFD31D2"/>
    <w:rsid w:val="617847A9"/>
    <w:rsid w:val="627025A8"/>
    <w:rsid w:val="62D1536F"/>
    <w:rsid w:val="643CF2AB"/>
    <w:rsid w:val="64FAC8A3"/>
    <w:rsid w:val="65D4308F"/>
    <w:rsid w:val="65E110DB"/>
    <w:rsid w:val="66F8B532"/>
    <w:rsid w:val="67B113A6"/>
    <w:rsid w:val="6890422D"/>
    <w:rsid w:val="691EC1FA"/>
    <w:rsid w:val="698E1168"/>
    <w:rsid w:val="6A9E479A"/>
    <w:rsid w:val="6E60B0E1"/>
    <w:rsid w:val="6F719E44"/>
    <w:rsid w:val="703D3F2B"/>
    <w:rsid w:val="70769B6C"/>
    <w:rsid w:val="712777CA"/>
    <w:rsid w:val="7254F894"/>
    <w:rsid w:val="72E47255"/>
    <w:rsid w:val="74E32A66"/>
    <w:rsid w:val="7657220B"/>
    <w:rsid w:val="77A8DCE0"/>
    <w:rsid w:val="780BDF6D"/>
    <w:rsid w:val="78BA2643"/>
    <w:rsid w:val="78F2FB7D"/>
    <w:rsid w:val="7ACED4F5"/>
    <w:rsid w:val="7B408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AAA1"/>
  <w15:chartTrackingRefBased/>
  <w15:docId w15:val="{43B6B701-9185-4F05-A9FD-4B66F26D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3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3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3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3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211"/>
    <w:rPr>
      <w:rFonts w:eastAsiaTheme="majorEastAsia" w:cstheme="majorBidi"/>
      <w:color w:val="272727" w:themeColor="text1" w:themeTint="D8"/>
    </w:rPr>
  </w:style>
  <w:style w:type="paragraph" w:styleId="Title">
    <w:name w:val="Title"/>
    <w:basedOn w:val="Normal"/>
    <w:next w:val="Normal"/>
    <w:link w:val="TitleChar"/>
    <w:uiPriority w:val="10"/>
    <w:qFormat/>
    <w:rsid w:val="00D03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211"/>
    <w:pPr>
      <w:spacing w:before="160"/>
      <w:jc w:val="center"/>
    </w:pPr>
    <w:rPr>
      <w:i/>
      <w:iCs/>
      <w:color w:val="404040" w:themeColor="text1" w:themeTint="BF"/>
    </w:rPr>
  </w:style>
  <w:style w:type="character" w:customStyle="1" w:styleId="QuoteChar">
    <w:name w:val="Quote Char"/>
    <w:basedOn w:val="DefaultParagraphFont"/>
    <w:link w:val="Quote"/>
    <w:uiPriority w:val="29"/>
    <w:rsid w:val="00D03211"/>
    <w:rPr>
      <w:i/>
      <w:iCs/>
      <w:color w:val="404040" w:themeColor="text1" w:themeTint="BF"/>
    </w:rPr>
  </w:style>
  <w:style w:type="paragraph" w:styleId="ListParagraph">
    <w:name w:val="List Paragraph"/>
    <w:basedOn w:val="Normal"/>
    <w:uiPriority w:val="34"/>
    <w:qFormat/>
    <w:rsid w:val="00D03211"/>
    <w:pPr>
      <w:ind w:left="720"/>
      <w:contextualSpacing/>
    </w:pPr>
  </w:style>
  <w:style w:type="character" w:styleId="IntenseEmphasis">
    <w:name w:val="Intense Emphasis"/>
    <w:basedOn w:val="DefaultParagraphFont"/>
    <w:uiPriority w:val="21"/>
    <w:qFormat/>
    <w:rsid w:val="00D03211"/>
    <w:rPr>
      <w:i/>
      <w:iCs/>
      <w:color w:val="0F4761" w:themeColor="accent1" w:themeShade="BF"/>
    </w:rPr>
  </w:style>
  <w:style w:type="paragraph" w:styleId="IntenseQuote">
    <w:name w:val="Intense Quote"/>
    <w:basedOn w:val="Normal"/>
    <w:next w:val="Normal"/>
    <w:link w:val="IntenseQuoteChar"/>
    <w:uiPriority w:val="30"/>
    <w:qFormat/>
    <w:rsid w:val="00D03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211"/>
    <w:rPr>
      <w:i/>
      <w:iCs/>
      <w:color w:val="0F4761" w:themeColor="accent1" w:themeShade="BF"/>
    </w:rPr>
  </w:style>
  <w:style w:type="character" w:styleId="IntenseReference">
    <w:name w:val="Intense Reference"/>
    <w:basedOn w:val="DefaultParagraphFont"/>
    <w:uiPriority w:val="32"/>
    <w:qFormat/>
    <w:rsid w:val="00D03211"/>
    <w:rPr>
      <w:b/>
      <w:bCs/>
      <w:smallCaps/>
      <w:color w:val="0F4761" w:themeColor="accent1" w:themeShade="BF"/>
      <w:spacing w:val="5"/>
    </w:rPr>
  </w:style>
  <w:style w:type="paragraph" w:styleId="EndnoteText">
    <w:name w:val="endnote text"/>
    <w:basedOn w:val="Normal"/>
    <w:link w:val="EndnoteTextChar"/>
    <w:uiPriority w:val="99"/>
    <w:semiHidden/>
    <w:unhideWhenUsed/>
    <w:rsid w:val="007E67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7D5"/>
    <w:rPr>
      <w:sz w:val="20"/>
      <w:szCs w:val="20"/>
    </w:rPr>
  </w:style>
  <w:style w:type="character" w:styleId="EndnoteReference">
    <w:name w:val="endnote reference"/>
    <w:basedOn w:val="DefaultParagraphFont"/>
    <w:uiPriority w:val="99"/>
    <w:semiHidden/>
    <w:unhideWhenUsed/>
    <w:rsid w:val="007E67D5"/>
    <w:rPr>
      <w:vertAlign w:val="superscript"/>
    </w:rPr>
  </w:style>
  <w:style w:type="character" w:styleId="Hyperlink">
    <w:name w:val="Hyperlink"/>
    <w:basedOn w:val="DefaultParagraphFont"/>
    <w:uiPriority w:val="99"/>
    <w:unhideWhenUsed/>
    <w:rsid w:val="00A3580D"/>
    <w:rPr>
      <w:color w:val="467886" w:themeColor="hyperlink"/>
      <w:u w:val="single"/>
    </w:rPr>
  </w:style>
  <w:style w:type="character" w:styleId="UnresolvedMention">
    <w:name w:val="Unresolved Mention"/>
    <w:basedOn w:val="DefaultParagraphFont"/>
    <w:uiPriority w:val="99"/>
    <w:semiHidden/>
    <w:unhideWhenUsed/>
    <w:rsid w:val="00A3580D"/>
    <w:rPr>
      <w:color w:val="605E5C"/>
      <w:shd w:val="clear" w:color="auto" w:fill="E1DFDD"/>
    </w:rPr>
  </w:style>
  <w:style w:type="character" w:styleId="CommentReference">
    <w:name w:val="annotation reference"/>
    <w:basedOn w:val="DefaultParagraphFont"/>
    <w:uiPriority w:val="99"/>
    <w:semiHidden/>
    <w:unhideWhenUsed/>
    <w:rsid w:val="003E4DCF"/>
    <w:rPr>
      <w:sz w:val="16"/>
      <w:szCs w:val="16"/>
    </w:rPr>
  </w:style>
  <w:style w:type="paragraph" w:styleId="CommentText">
    <w:name w:val="annotation text"/>
    <w:basedOn w:val="Normal"/>
    <w:link w:val="CommentTextChar"/>
    <w:uiPriority w:val="99"/>
    <w:unhideWhenUsed/>
    <w:rsid w:val="003E4DCF"/>
    <w:pPr>
      <w:spacing w:line="240" w:lineRule="auto"/>
    </w:pPr>
    <w:rPr>
      <w:sz w:val="20"/>
      <w:szCs w:val="20"/>
    </w:rPr>
  </w:style>
  <w:style w:type="character" w:customStyle="1" w:styleId="CommentTextChar">
    <w:name w:val="Comment Text Char"/>
    <w:basedOn w:val="DefaultParagraphFont"/>
    <w:link w:val="CommentText"/>
    <w:uiPriority w:val="99"/>
    <w:rsid w:val="003E4DCF"/>
    <w:rPr>
      <w:sz w:val="20"/>
      <w:szCs w:val="20"/>
    </w:rPr>
  </w:style>
  <w:style w:type="paragraph" w:styleId="CommentSubject">
    <w:name w:val="annotation subject"/>
    <w:basedOn w:val="CommentText"/>
    <w:next w:val="CommentText"/>
    <w:link w:val="CommentSubjectChar"/>
    <w:uiPriority w:val="99"/>
    <w:semiHidden/>
    <w:unhideWhenUsed/>
    <w:rsid w:val="003E4DCF"/>
    <w:rPr>
      <w:b/>
      <w:bCs/>
    </w:rPr>
  </w:style>
  <w:style w:type="character" w:customStyle="1" w:styleId="CommentSubjectChar">
    <w:name w:val="Comment Subject Char"/>
    <w:basedOn w:val="CommentTextChar"/>
    <w:link w:val="CommentSubject"/>
    <w:uiPriority w:val="99"/>
    <w:semiHidden/>
    <w:rsid w:val="003E4DCF"/>
    <w:rPr>
      <w:b/>
      <w:bCs/>
      <w:sz w:val="20"/>
      <w:szCs w:val="20"/>
    </w:rPr>
  </w:style>
  <w:style w:type="character" w:styleId="FollowedHyperlink">
    <w:name w:val="FollowedHyperlink"/>
    <w:basedOn w:val="DefaultParagraphFont"/>
    <w:uiPriority w:val="99"/>
    <w:semiHidden/>
    <w:unhideWhenUsed/>
    <w:rsid w:val="009B72A3"/>
    <w:rPr>
      <w:color w:val="96607D" w:themeColor="followedHyperlink"/>
      <w:u w:val="single"/>
    </w:rPr>
  </w:style>
  <w:style w:type="paragraph" w:styleId="Header">
    <w:name w:val="header"/>
    <w:basedOn w:val="Normal"/>
    <w:link w:val="HeaderChar"/>
    <w:uiPriority w:val="99"/>
    <w:semiHidden/>
    <w:unhideWhenUsed/>
    <w:rsid w:val="00CA7C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C6D"/>
  </w:style>
  <w:style w:type="paragraph" w:styleId="Footer">
    <w:name w:val="footer"/>
    <w:basedOn w:val="Normal"/>
    <w:link w:val="FooterChar"/>
    <w:uiPriority w:val="99"/>
    <w:semiHidden/>
    <w:unhideWhenUsed/>
    <w:rsid w:val="00CA7C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7C6D"/>
  </w:style>
  <w:style w:type="table" w:styleId="PlainTable3">
    <w:name w:val="Plain Table 3"/>
    <w:basedOn w:val="TableNormal"/>
    <w:uiPriority w:val="43"/>
    <w:rsid w:val="003409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D29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295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9122">
      <w:bodyDiv w:val="1"/>
      <w:marLeft w:val="0"/>
      <w:marRight w:val="0"/>
      <w:marTop w:val="0"/>
      <w:marBottom w:val="0"/>
      <w:divBdr>
        <w:top w:val="none" w:sz="0" w:space="0" w:color="auto"/>
        <w:left w:val="none" w:sz="0" w:space="0" w:color="auto"/>
        <w:bottom w:val="none" w:sz="0" w:space="0" w:color="auto"/>
        <w:right w:val="none" w:sz="0" w:space="0" w:color="auto"/>
      </w:divBdr>
    </w:div>
    <w:div w:id="58604154">
      <w:bodyDiv w:val="1"/>
      <w:marLeft w:val="0"/>
      <w:marRight w:val="0"/>
      <w:marTop w:val="0"/>
      <w:marBottom w:val="0"/>
      <w:divBdr>
        <w:top w:val="none" w:sz="0" w:space="0" w:color="auto"/>
        <w:left w:val="none" w:sz="0" w:space="0" w:color="auto"/>
        <w:bottom w:val="none" w:sz="0" w:space="0" w:color="auto"/>
        <w:right w:val="none" w:sz="0" w:space="0" w:color="auto"/>
      </w:divBdr>
    </w:div>
    <w:div w:id="88233244">
      <w:bodyDiv w:val="1"/>
      <w:marLeft w:val="0"/>
      <w:marRight w:val="0"/>
      <w:marTop w:val="0"/>
      <w:marBottom w:val="0"/>
      <w:divBdr>
        <w:top w:val="none" w:sz="0" w:space="0" w:color="auto"/>
        <w:left w:val="none" w:sz="0" w:space="0" w:color="auto"/>
        <w:bottom w:val="none" w:sz="0" w:space="0" w:color="auto"/>
        <w:right w:val="none" w:sz="0" w:space="0" w:color="auto"/>
      </w:divBdr>
      <w:divsChild>
        <w:div w:id="383798631">
          <w:marLeft w:val="0"/>
          <w:marRight w:val="0"/>
          <w:marTop w:val="0"/>
          <w:marBottom w:val="0"/>
          <w:divBdr>
            <w:top w:val="none" w:sz="0" w:space="0" w:color="auto"/>
            <w:left w:val="none" w:sz="0" w:space="0" w:color="auto"/>
            <w:bottom w:val="none" w:sz="0" w:space="0" w:color="auto"/>
            <w:right w:val="none" w:sz="0" w:space="0" w:color="auto"/>
          </w:divBdr>
        </w:div>
        <w:div w:id="1549218750">
          <w:marLeft w:val="0"/>
          <w:marRight w:val="0"/>
          <w:marTop w:val="0"/>
          <w:marBottom w:val="0"/>
          <w:divBdr>
            <w:top w:val="none" w:sz="0" w:space="0" w:color="auto"/>
            <w:left w:val="none" w:sz="0" w:space="0" w:color="auto"/>
            <w:bottom w:val="none" w:sz="0" w:space="0" w:color="auto"/>
            <w:right w:val="none" w:sz="0" w:space="0" w:color="auto"/>
          </w:divBdr>
        </w:div>
      </w:divsChild>
    </w:div>
    <w:div w:id="153958887">
      <w:bodyDiv w:val="1"/>
      <w:marLeft w:val="0"/>
      <w:marRight w:val="0"/>
      <w:marTop w:val="0"/>
      <w:marBottom w:val="0"/>
      <w:divBdr>
        <w:top w:val="none" w:sz="0" w:space="0" w:color="auto"/>
        <w:left w:val="none" w:sz="0" w:space="0" w:color="auto"/>
        <w:bottom w:val="none" w:sz="0" w:space="0" w:color="auto"/>
        <w:right w:val="none" w:sz="0" w:space="0" w:color="auto"/>
      </w:divBdr>
    </w:div>
    <w:div w:id="192694137">
      <w:bodyDiv w:val="1"/>
      <w:marLeft w:val="0"/>
      <w:marRight w:val="0"/>
      <w:marTop w:val="0"/>
      <w:marBottom w:val="0"/>
      <w:divBdr>
        <w:top w:val="none" w:sz="0" w:space="0" w:color="auto"/>
        <w:left w:val="none" w:sz="0" w:space="0" w:color="auto"/>
        <w:bottom w:val="none" w:sz="0" w:space="0" w:color="auto"/>
        <w:right w:val="none" w:sz="0" w:space="0" w:color="auto"/>
      </w:divBdr>
    </w:div>
    <w:div w:id="230508592">
      <w:bodyDiv w:val="1"/>
      <w:marLeft w:val="0"/>
      <w:marRight w:val="0"/>
      <w:marTop w:val="0"/>
      <w:marBottom w:val="0"/>
      <w:divBdr>
        <w:top w:val="none" w:sz="0" w:space="0" w:color="auto"/>
        <w:left w:val="none" w:sz="0" w:space="0" w:color="auto"/>
        <w:bottom w:val="none" w:sz="0" w:space="0" w:color="auto"/>
        <w:right w:val="none" w:sz="0" w:space="0" w:color="auto"/>
      </w:divBdr>
    </w:div>
    <w:div w:id="375201027">
      <w:bodyDiv w:val="1"/>
      <w:marLeft w:val="0"/>
      <w:marRight w:val="0"/>
      <w:marTop w:val="0"/>
      <w:marBottom w:val="0"/>
      <w:divBdr>
        <w:top w:val="none" w:sz="0" w:space="0" w:color="auto"/>
        <w:left w:val="none" w:sz="0" w:space="0" w:color="auto"/>
        <w:bottom w:val="none" w:sz="0" w:space="0" w:color="auto"/>
        <w:right w:val="none" w:sz="0" w:space="0" w:color="auto"/>
      </w:divBdr>
    </w:div>
    <w:div w:id="404226676">
      <w:bodyDiv w:val="1"/>
      <w:marLeft w:val="0"/>
      <w:marRight w:val="0"/>
      <w:marTop w:val="0"/>
      <w:marBottom w:val="0"/>
      <w:divBdr>
        <w:top w:val="none" w:sz="0" w:space="0" w:color="auto"/>
        <w:left w:val="none" w:sz="0" w:space="0" w:color="auto"/>
        <w:bottom w:val="none" w:sz="0" w:space="0" w:color="auto"/>
        <w:right w:val="none" w:sz="0" w:space="0" w:color="auto"/>
      </w:divBdr>
    </w:div>
    <w:div w:id="424112326">
      <w:bodyDiv w:val="1"/>
      <w:marLeft w:val="0"/>
      <w:marRight w:val="0"/>
      <w:marTop w:val="0"/>
      <w:marBottom w:val="0"/>
      <w:divBdr>
        <w:top w:val="none" w:sz="0" w:space="0" w:color="auto"/>
        <w:left w:val="none" w:sz="0" w:space="0" w:color="auto"/>
        <w:bottom w:val="none" w:sz="0" w:space="0" w:color="auto"/>
        <w:right w:val="none" w:sz="0" w:space="0" w:color="auto"/>
      </w:divBdr>
      <w:divsChild>
        <w:div w:id="163666127">
          <w:marLeft w:val="0"/>
          <w:marRight w:val="0"/>
          <w:marTop w:val="0"/>
          <w:marBottom w:val="0"/>
          <w:divBdr>
            <w:top w:val="none" w:sz="0" w:space="0" w:color="auto"/>
            <w:left w:val="none" w:sz="0" w:space="0" w:color="auto"/>
            <w:bottom w:val="none" w:sz="0" w:space="0" w:color="auto"/>
            <w:right w:val="none" w:sz="0" w:space="0" w:color="auto"/>
          </w:divBdr>
        </w:div>
        <w:div w:id="405956357">
          <w:marLeft w:val="0"/>
          <w:marRight w:val="0"/>
          <w:marTop w:val="0"/>
          <w:marBottom w:val="0"/>
          <w:divBdr>
            <w:top w:val="none" w:sz="0" w:space="0" w:color="auto"/>
            <w:left w:val="none" w:sz="0" w:space="0" w:color="auto"/>
            <w:bottom w:val="none" w:sz="0" w:space="0" w:color="auto"/>
            <w:right w:val="none" w:sz="0" w:space="0" w:color="auto"/>
          </w:divBdr>
        </w:div>
        <w:div w:id="1442917068">
          <w:marLeft w:val="0"/>
          <w:marRight w:val="0"/>
          <w:marTop w:val="0"/>
          <w:marBottom w:val="0"/>
          <w:divBdr>
            <w:top w:val="none" w:sz="0" w:space="0" w:color="auto"/>
            <w:left w:val="none" w:sz="0" w:space="0" w:color="auto"/>
            <w:bottom w:val="none" w:sz="0" w:space="0" w:color="auto"/>
            <w:right w:val="none" w:sz="0" w:space="0" w:color="auto"/>
          </w:divBdr>
        </w:div>
        <w:div w:id="1716343840">
          <w:marLeft w:val="0"/>
          <w:marRight w:val="0"/>
          <w:marTop w:val="0"/>
          <w:marBottom w:val="0"/>
          <w:divBdr>
            <w:top w:val="none" w:sz="0" w:space="0" w:color="auto"/>
            <w:left w:val="none" w:sz="0" w:space="0" w:color="auto"/>
            <w:bottom w:val="none" w:sz="0" w:space="0" w:color="auto"/>
            <w:right w:val="none" w:sz="0" w:space="0" w:color="auto"/>
          </w:divBdr>
        </w:div>
        <w:div w:id="1753313531">
          <w:marLeft w:val="0"/>
          <w:marRight w:val="0"/>
          <w:marTop w:val="0"/>
          <w:marBottom w:val="0"/>
          <w:divBdr>
            <w:top w:val="none" w:sz="0" w:space="0" w:color="auto"/>
            <w:left w:val="none" w:sz="0" w:space="0" w:color="auto"/>
            <w:bottom w:val="none" w:sz="0" w:space="0" w:color="auto"/>
            <w:right w:val="none" w:sz="0" w:space="0" w:color="auto"/>
          </w:divBdr>
        </w:div>
        <w:div w:id="1832330178">
          <w:marLeft w:val="0"/>
          <w:marRight w:val="0"/>
          <w:marTop w:val="0"/>
          <w:marBottom w:val="0"/>
          <w:divBdr>
            <w:top w:val="none" w:sz="0" w:space="0" w:color="auto"/>
            <w:left w:val="none" w:sz="0" w:space="0" w:color="auto"/>
            <w:bottom w:val="none" w:sz="0" w:space="0" w:color="auto"/>
            <w:right w:val="none" w:sz="0" w:space="0" w:color="auto"/>
          </w:divBdr>
        </w:div>
        <w:div w:id="1964534734">
          <w:marLeft w:val="0"/>
          <w:marRight w:val="0"/>
          <w:marTop w:val="0"/>
          <w:marBottom w:val="0"/>
          <w:divBdr>
            <w:top w:val="none" w:sz="0" w:space="0" w:color="auto"/>
            <w:left w:val="none" w:sz="0" w:space="0" w:color="auto"/>
            <w:bottom w:val="none" w:sz="0" w:space="0" w:color="auto"/>
            <w:right w:val="none" w:sz="0" w:space="0" w:color="auto"/>
          </w:divBdr>
        </w:div>
        <w:div w:id="2081051401">
          <w:marLeft w:val="0"/>
          <w:marRight w:val="0"/>
          <w:marTop w:val="0"/>
          <w:marBottom w:val="0"/>
          <w:divBdr>
            <w:top w:val="none" w:sz="0" w:space="0" w:color="auto"/>
            <w:left w:val="none" w:sz="0" w:space="0" w:color="auto"/>
            <w:bottom w:val="none" w:sz="0" w:space="0" w:color="auto"/>
            <w:right w:val="none" w:sz="0" w:space="0" w:color="auto"/>
          </w:divBdr>
        </w:div>
      </w:divsChild>
    </w:div>
    <w:div w:id="535047044">
      <w:bodyDiv w:val="1"/>
      <w:marLeft w:val="0"/>
      <w:marRight w:val="0"/>
      <w:marTop w:val="0"/>
      <w:marBottom w:val="0"/>
      <w:divBdr>
        <w:top w:val="none" w:sz="0" w:space="0" w:color="auto"/>
        <w:left w:val="none" w:sz="0" w:space="0" w:color="auto"/>
        <w:bottom w:val="none" w:sz="0" w:space="0" w:color="auto"/>
        <w:right w:val="none" w:sz="0" w:space="0" w:color="auto"/>
      </w:divBdr>
      <w:divsChild>
        <w:div w:id="101804402">
          <w:marLeft w:val="0"/>
          <w:marRight w:val="0"/>
          <w:marTop w:val="0"/>
          <w:marBottom w:val="0"/>
          <w:divBdr>
            <w:top w:val="none" w:sz="0" w:space="0" w:color="auto"/>
            <w:left w:val="none" w:sz="0" w:space="0" w:color="auto"/>
            <w:bottom w:val="none" w:sz="0" w:space="0" w:color="auto"/>
            <w:right w:val="none" w:sz="0" w:space="0" w:color="auto"/>
          </w:divBdr>
        </w:div>
        <w:div w:id="1508250666">
          <w:marLeft w:val="0"/>
          <w:marRight w:val="0"/>
          <w:marTop w:val="0"/>
          <w:marBottom w:val="0"/>
          <w:divBdr>
            <w:top w:val="none" w:sz="0" w:space="0" w:color="auto"/>
            <w:left w:val="none" w:sz="0" w:space="0" w:color="auto"/>
            <w:bottom w:val="none" w:sz="0" w:space="0" w:color="auto"/>
            <w:right w:val="none" w:sz="0" w:space="0" w:color="auto"/>
          </w:divBdr>
        </w:div>
      </w:divsChild>
    </w:div>
    <w:div w:id="560290939">
      <w:bodyDiv w:val="1"/>
      <w:marLeft w:val="0"/>
      <w:marRight w:val="0"/>
      <w:marTop w:val="0"/>
      <w:marBottom w:val="0"/>
      <w:divBdr>
        <w:top w:val="none" w:sz="0" w:space="0" w:color="auto"/>
        <w:left w:val="none" w:sz="0" w:space="0" w:color="auto"/>
        <w:bottom w:val="none" w:sz="0" w:space="0" w:color="auto"/>
        <w:right w:val="none" w:sz="0" w:space="0" w:color="auto"/>
      </w:divBdr>
      <w:divsChild>
        <w:div w:id="160779234">
          <w:marLeft w:val="0"/>
          <w:marRight w:val="0"/>
          <w:marTop w:val="0"/>
          <w:marBottom w:val="0"/>
          <w:divBdr>
            <w:top w:val="none" w:sz="0" w:space="0" w:color="auto"/>
            <w:left w:val="none" w:sz="0" w:space="0" w:color="auto"/>
            <w:bottom w:val="none" w:sz="0" w:space="0" w:color="auto"/>
            <w:right w:val="none" w:sz="0" w:space="0" w:color="auto"/>
          </w:divBdr>
        </w:div>
        <w:div w:id="219633016">
          <w:marLeft w:val="0"/>
          <w:marRight w:val="0"/>
          <w:marTop w:val="0"/>
          <w:marBottom w:val="0"/>
          <w:divBdr>
            <w:top w:val="none" w:sz="0" w:space="0" w:color="auto"/>
            <w:left w:val="none" w:sz="0" w:space="0" w:color="auto"/>
            <w:bottom w:val="none" w:sz="0" w:space="0" w:color="auto"/>
            <w:right w:val="none" w:sz="0" w:space="0" w:color="auto"/>
          </w:divBdr>
        </w:div>
      </w:divsChild>
    </w:div>
    <w:div w:id="604654575">
      <w:bodyDiv w:val="1"/>
      <w:marLeft w:val="0"/>
      <w:marRight w:val="0"/>
      <w:marTop w:val="0"/>
      <w:marBottom w:val="0"/>
      <w:divBdr>
        <w:top w:val="none" w:sz="0" w:space="0" w:color="auto"/>
        <w:left w:val="none" w:sz="0" w:space="0" w:color="auto"/>
        <w:bottom w:val="none" w:sz="0" w:space="0" w:color="auto"/>
        <w:right w:val="none" w:sz="0" w:space="0" w:color="auto"/>
      </w:divBdr>
    </w:div>
    <w:div w:id="682513034">
      <w:bodyDiv w:val="1"/>
      <w:marLeft w:val="0"/>
      <w:marRight w:val="0"/>
      <w:marTop w:val="0"/>
      <w:marBottom w:val="0"/>
      <w:divBdr>
        <w:top w:val="none" w:sz="0" w:space="0" w:color="auto"/>
        <w:left w:val="none" w:sz="0" w:space="0" w:color="auto"/>
        <w:bottom w:val="none" w:sz="0" w:space="0" w:color="auto"/>
        <w:right w:val="none" w:sz="0" w:space="0" w:color="auto"/>
      </w:divBdr>
    </w:div>
    <w:div w:id="711078435">
      <w:bodyDiv w:val="1"/>
      <w:marLeft w:val="0"/>
      <w:marRight w:val="0"/>
      <w:marTop w:val="0"/>
      <w:marBottom w:val="0"/>
      <w:divBdr>
        <w:top w:val="none" w:sz="0" w:space="0" w:color="auto"/>
        <w:left w:val="none" w:sz="0" w:space="0" w:color="auto"/>
        <w:bottom w:val="none" w:sz="0" w:space="0" w:color="auto"/>
        <w:right w:val="none" w:sz="0" w:space="0" w:color="auto"/>
      </w:divBdr>
    </w:div>
    <w:div w:id="713621785">
      <w:bodyDiv w:val="1"/>
      <w:marLeft w:val="0"/>
      <w:marRight w:val="0"/>
      <w:marTop w:val="0"/>
      <w:marBottom w:val="0"/>
      <w:divBdr>
        <w:top w:val="none" w:sz="0" w:space="0" w:color="auto"/>
        <w:left w:val="none" w:sz="0" w:space="0" w:color="auto"/>
        <w:bottom w:val="none" w:sz="0" w:space="0" w:color="auto"/>
        <w:right w:val="none" w:sz="0" w:space="0" w:color="auto"/>
      </w:divBdr>
    </w:div>
    <w:div w:id="7502772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590">
          <w:marLeft w:val="0"/>
          <w:marRight w:val="0"/>
          <w:marTop w:val="0"/>
          <w:marBottom w:val="0"/>
          <w:divBdr>
            <w:top w:val="none" w:sz="0" w:space="0" w:color="auto"/>
            <w:left w:val="none" w:sz="0" w:space="0" w:color="auto"/>
            <w:bottom w:val="none" w:sz="0" w:space="0" w:color="auto"/>
            <w:right w:val="none" w:sz="0" w:space="0" w:color="auto"/>
          </w:divBdr>
        </w:div>
        <w:div w:id="1945765236">
          <w:marLeft w:val="0"/>
          <w:marRight w:val="0"/>
          <w:marTop w:val="0"/>
          <w:marBottom w:val="0"/>
          <w:divBdr>
            <w:top w:val="none" w:sz="0" w:space="0" w:color="auto"/>
            <w:left w:val="none" w:sz="0" w:space="0" w:color="auto"/>
            <w:bottom w:val="none" w:sz="0" w:space="0" w:color="auto"/>
            <w:right w:val="none" w:sz="0" w:space="0" w:color="auto"/>
          </w:divBdr>
        </w:div>
      </w:divsChild>
    </w:div>
    <w:div w:id="754981314">
      <w:bodyDiv w:val="1"/>
      <w:marLeft w:val="0"/>
      <w:marRight w:val="0"/>
      <w:marTop w:val="0"/>
      <w:marBottom w:val="0"/>
      <w:divBdr>
        <w:top w:val="none" w:sz="0" w:space="0" w:color="auto"/>
        <w:left w:val="none" w:sz="0" w:space="0" w:color="auto"/>
        <w:bottom w:val="none" w:sz="0" w:space="0" w:color="auto"/>
        <w:right w:val="none" w:sz="0" w:space="0" w:color="auto"/>
      </w:divBdr>
    </w:div>
    <w:div w:id="905996088">
      <w:bodyDiv w:val="1"/>
      <w:marLeft w:val="0"/>
      <w:marRight w:val="0"/>
      <w:marTop w:val="0"/>
      <w:marBottom w:val="0"/>
      <w:divBdr>
        <w:top w:val="none" w:sz="0" w:space="0" w:color="auto"/>
        <w:left w:val="none" w:sz="0" w:space="0" w:color="auto"/>
        <w:bottom w:val="none" w:sz="0" w:space="0" w:color="auto"/>
        <w:right w:val="none" w:sz="0" w:space="0" w:color="auto"/>
      </w:divBdr>
    </w:div>
    <w:div w:id="1026098425">
      <w:bodyDiv w:val="1"/>
      <w:marLeft w:val="0"/>
      <w:marRight w:val="0"/>
      <w:marTop w:val="0"/>
      <w:marBottom w:val="0"/>
      <w:divBdr>
        <w:top w:val="none" w:sz="0" w:space="0" w:color="auto"/>
        <w:left w:val="none" w:sz="0" w:space="0" w:color="auto"/>
        <w:bottom w:val="none" w:sz="0" w:space="0" w:color="auto"/>
        <w:right w:val="none" w:sz="0" w:space="0" w:color="auto"/>
      </w:divBdr>
      <w:divsChild>
        <w:div w:id="1296258793">
          <w:marLeft w:val="0"/>
          <w:marRight w:val="0"/>
          <w:marTop w:val="0"/>
          <w:marBottom w:val="0"/>
          <w:divBdr>
            <w:top w:val="none" w:sz="0" w:space="0" w:color="auto"/>
            <w:left w:val="none" w:sz="0" w:space="0" w:color="auto"/>
            <w:bottom w:val="none" w:sz="0" w:space="0" w:color="auto"/>
            <w:right w:val="none" w:sz="0" w:space="0" w:color="auto"/>
          </w:divBdr>
        </w:div>
      </w:divsChild>
    </w:div>
    <w:div w:id="1033068850">
      <w:bodyDiv w:val="1"/>
      <w:marLeft w:val="0"/>
      <w:marRight w:val="0"/>
      <w:marTop w:val="0"/>
      <w:marBottom w:val="0"/>
      <w:divBdr>
        <w:top w:val="none" w:sz="0" w:space="0" w:color="auto"/>
        <w:left w:val="none" w:sz="0" w:space="0" w:color="auto"/>
        <w:bottom w:val="none" w:sz="0" w:space="0" w:color="auto"/>
        <w:right w:val="none" w:sz="0" w:space="0" w:color="auto"/>
      </w:divBdr>
    </w:div>
    <w:div w:id="1089622953">
      <w:bodyDiv w:val="1"/>
      <w:marLeft w:val="0"/>
      <w:marRight w:val="0"/>
      <w:marTop w:val="0"/>
      <w:marBottom w:val="0"/>
      <w:divBdr>
        <w:top w:val="none" w:sz="0" w:space="0" w:color="auto"/>
        <w:left w:val="none" w:sz="0" w:space="0" w:color="auto"/>
        <w:bottom w:val="none" w:sz="0" w:space="0" w:color="auto"/>
        <w:right w:val="none" w:sz="0" w:space="0" w:color="auto"/>
      </w:divBdr>
    </w:div>
    <w:div w:id="1110273572">
      <w:bodyDiv w:val="1"/>
      <w:marLeft w:val="0"/>
      <w:marRight w:val="0"/>
      <w:marTop w:val="0"/>
      <w:marBottom w:val="0"/>
      <w:divBdr>
        <w:top w:val="none" w:sz="0" w:space="0" w:color="auto"/>
        <w:left w:val="none" w:sz="0" w:space="0" w:color="auto"/>
        <w:bottom w:val="none" w:sz="0" w:space="0" w:color="auto"/>
        <w:right w:val="none" w:sz="0" w:space="0" w:color="auto"/>
      </w:divBdr>
      <w:divsChild>
        <w:div w:id="389233509">
          <w:marLeft w:val="0"/>
          <w:marRight w:val="0"/>
          <w:marTop w:val="0"/>
          <w:marBottom w:val="0"/>
          <w:divBdr>
            <w:top w:val="none" w:sz="0" w:space="0" w:color="auto"/>
            <w:left w:val="none" w:sz="0" w:space="0" w:color="auto"/>
            <w:bottom w:val="none" w:sz="0" w:space="0" w:color="auto"/>
            <w:right w:val="none" w:sz="0" w:space="0" w:color="auto"/>
          </w:divBdr>
        </w:div>
        <w:div w:id="468984387">
          <w:marLeft w:val="0"/>
          <w:marRight w:val="0"/>
          <w:marTop w:val="0"/>
          <w:marBottom w:val="0"/>
          <w:divBdr>
            <w:top w:val="none" w:sz="0" w:space="0" w:color="auto"/>
            <w:left w:val="none" w:sz="0" w:space="0" w:color="auto"/>
            <w:bottom w:val="none" w:sz="0" w:space="0" w:color="auto"/>
            <w:right w:val="none" w:sz="0" w:space="0" w:color="auto"/>
          </w:divBdr>
        </w:div>
        <w:div w:id="539902487">
          <w:marLeft w:val="0"/>
          <w:marRight w:val="0"/>
          <w:marTop w:val="0"/>
          <w:marBottom w:val="0"/>
          <w:divBdr>
            <w:top w:val="none" w:sz="0" w:space="0" w:color="auto"/>
            <w:left w:val="none" w:sz="0" w:space="0" w:color="auto"/>
            <w:bottom w:val="none" w:sz="0" w:space="0" w:color="auto"/>
            <w:right w:val="none" w:sz="0" w:space="0" w:color="auto"/>
          </w:divBdr>
        </w:div>
        <w:div w:id="831068310">
          <w:marLeft w:val="0"/>
          <w:marRight w:val="0"/>
          <w:marTop w:val="0"/>
          <w:marBottom w:val="0"/>
          <w:divBdr>
            <w:top w:val="none" w:sz="0" w:space="0" w:color="auto"/>
            <w:left w:val="none" w:sz="0" w:space="0" w:color="auto"/>
            <w:bottom w:val="none" w:sz="0" w:space="0" w:color="auto"/>
            <w:right w:val="none" w:sz="0" w:space="0" w:color="auto"/>
          </w:divBdr>
        </w:div>
        <w:div w:id="945112331">
          <w:marLeft w:val="0"/>
          <w:marRight w:val="0"/>
          <w:marTop w:val="0"/>
          <w:marBottom w:val="0"/>
          <w:divBdr>
            <w:top w:val="none" w:sz="0" w:space="0" w:color="auto"/>
            <w:left w:val="none" w:sz="0" w:space="0" w:color="auto"/>
            <w:bottom w:val="none" w:sz="0" w:space="0" w:color="auto"/>
            <w:right w:val="none" w:sz="0" w:space="0" w:color="auto"/>
          </w:divBdr>
        </w:div>
        <w:div w:id="1012538148">
          <w:marLeft w:val="0"/>
          <w:marRight w:val="0"/>
          <w:marTop w:val="0"/>
          <w:marBottom w:val="0"/>
          <w:divBdr>
            <w:top w:val="none" w:sz="0" w:space="0" w:color="auto"/>
            <w:left w:val="none" w:sz="0" w:space="0" w:color="auto"/>
            <w:bottom w:val="none" w:sz="0" w:space="0" w:color="auto"/>
            <w:right w:val="none" w:sz="0" w:space="0" w:color="auto"/>
          </w:divBdr>
        </w:div>
        <w:div w:id="1110976038">
          <w:marLeft w:val="0"/>
          <w:marRight w:val="0"/>
          <w:marTop w:val="0"/>
          <w:marBottom w:val="0"/>
          <w:divBdr>
            <w:top w:val="none" w:sz="0" w:space="0" w:color="auto"/>
            <w:left w:val="none" w:sz="0" w:space="0" w:color="auto"/>
            <w:bottom w:val="none" w:sz="0" w:space="0" w:color="auto"/>
            <w:right w:val="none" w:sz="0" w:space="0" w:color="auto"/>
          </w:divBdr>
        </w:div>
        <w:div w:id="1838230379">
          <w:marLeft w:val="0"/>
          <w:marRight w:val="0"/>
          <w:marTop w:val="0"/>
          <w:marBottom w:val="0"/>
          <w:divBdr>
            <w:top w:val="none" w:sz="0" w:space="0" w:color="auto"/>
            <w:left w:val="none" w:sz="0" w:space="0" w:color="auto"/>
            <w:bottom w:val="none" w:sz="0" w:space="0" w:color="auto"/>
            <w:right w:val="none" w:sz="0" w:space="0" w:color="auto"/>
          </w:divBdr>
        </w:div>
      </w:divsChild>
    </w:div>
    <w:div w:id="1136070962">
      <w:bodyDiv w:val="1"/>
      <w:marLeft w:val="0"/>
      <w:marRight w:val="0"/>
      <w:marTop w:val="0"/>
      <w:marBottom w:val="0"/>
      <w:divBdr>
        <w:top w:val="none" w:sz="0" w:space="0" w:color="auto"/>
        <w:left w:val="none" w:sz="0" w:space="0" w:color="auto"/>
        <w:bottom w:val="none" w:sz="0" w:space="0" w:color="auto"/>
        <w:right w:val="none" w:sz="0" w:space="0" w:color="auto"/>
      </w:divBdr>
    </w:div>
    <w:div w:id="1138454127">
      <w:bodyDiv w:val="1"/>
      <w:marLeft w:val="0"/>
      <w:marRight w:val="0"/>
      <w:marTop w:val="0"/>
      <w:marBottom w:val="0"/>
      <w:divBdr>
        <w:top w:val="none" w:sz="0" w:space="0" w:color="auto"/>
        <w:left w:val="none" w:sz="0" w:space="0" w:color="auto"/>
        <w:bottom w:val="none" w:sz="0" w:space="0" w:color="auto"/>
        <w:right w:val="none" w:sz="0" w:space="0" w:color="auto"/>
      </w:divBdr>
    </w:div>
    <w:div w:id="1292515161">
      <w:bodyDiv w:val="1"/>
      <w:marLeft w:val="0"/>
      <w:marRight w:val="0"/>
      <w:marTop w:val="0"/>
      <w:marBottom w:val="0"/>
      <w:divBdr>
        <w:top w:val="none" w:sz="0" w:space="0" w:color="auto"/>
        <w:left w:val="none" w:sz="0" w:space="0" w:color="auto"/>
        <w:bottom w:val="none" w:sz="0" w:space="0" w:color="auto"/>
        <w:right w:val="none" w:sz="0" w:space="0" w:color="auto"/>
      </w:divBdr>
      <w:divsChild>
        <w:div w:id="34428519">
          <w:marLeft w:val="0"/>
          <w:marRight w:val="0"/>
          <w:marTop w:val="0"/>
          <w:marBottom w:val="0"/>
          <w:divBdr>
            <w:top w:val="none" w:sz="0" w:space="0" w:color="auto"/>
            <w:left w:val="none" w:sz="0" w:space="0" w:color="auto"/>
            <w:bottom w:val="none" w:sz="0" w:space="0" w:color="auto"/>
            <w:right w:val="none" w:sz="0" w:space="0" w:color="auto"/>
          </w:divBdr>
        </w:div>
      </w:divsChild>
    </w:div>
    <w:div w:id="1310941214">
      <w:bodyDiv w:val="1"/>
      <w:marLeft w:val="0"/>
      <w:marRight w:val="0"/>
      <w:marTop w:val="0"/>
      <w:marBottom w:val="0"/>
      <w:divBdr>
        <w:top w:val="none" w:sz="0" w:space="0" w:color="auto"/>
        <w:left w:val="none" w:sz="0" w:space="0" w:color="auto"/>
        <w:bottom w:val="none" w:sz="0" w:space="0" w:color="auto"/>
        <w:right w:val="none" w:sz="0" w:space="0" w:color="auto"/>
      </w:divBdr>
    </w:div>
    <w:div w:id="1372613331">
      <w:bodyDiv w:val="1"/>
      <w:marLeft w:val="0"/>
      <w:marRight w:val="0"/>
      <w:marTop w:val="0"/>
      <w:marBottom w:val="0"/>
      <w:divBdr>
        <w:top w:val="none" w:sz="0" w:space="0" w:color="auto"/>
        <w:left w:val="none" w:sz="0" w:space="0" w:color="auto"/>
        <w:bottom w:val="none" w:sz="0" w:space="0" w:color="auto"/>
        <w:right w:val="none" w:sz="0" w:space="0" w:color="auto"/>
      </w:divBdr>
      <w:divsChild>
        <w:div w:id="1403411097">
          <w:marLeft w:val="0"/>
          <w:marRight w:val="0"/>
          <w:marTop w:val="0"/>
          <w:marBottom w:val="0"/>
          <w:divBdr>
            <w:top w:val="none" w:sz="0" w:space="0" w:color="auto"/>
            <w:left w:val="none" w:sz="0" w:space="0" w:color="auto"/>
            <w:bottom w:val="none" w:sz="0" w:space="0" w:color="auto"/>
            <w:right w:val="none" w:sz="0" w:space="0" w:color="auto"/>
          </w:divBdr>
        </w:div>
        <w:div w:id="1781100317">
          <w:marLeft w:val="0"/>
          <w:marRight w:val="0"/>
          <w:marTop w:val="0"/>
          <w:marBottom w:val="0"/>
          <w:divBdr>
            <w:top w:val="none" w:sz="0" w:space="0" w:color="auto"/>
            <w:left w:val="none" w:sz="0" w:space="0" w:color="auto"/>
            <w:bottom w:val="none" w:sz="0" w:space="0" w:color="auto"/>
            <w:right w:val="none" w:sz="0" w:space="0" w:color="auto"/>
          </w:divBdr>
        </w:div>
      </w:divsChild>
    </w:div>
    <w:div w:id="1460371429">
      <w:bodyDiv w:val="1"/>
      <w:marLeft w:val="0"/>
      <w:marRight w:val="0"/>
      <w:marTop w:val="0"/>
      <w:marBottom w:val="0"/>
      <w:divBdr>
        <w:top w:val="none" w:sz="0" w:space="0" w:color="auto"/>
        <w:left w:val="none" w:sz="0" w:space="0" w:color="auto"/>
        <w:bottom w:val="none" w:sz="0" w:space="0" w:color="auto"/>
        <w:right w:val="none" w:sz="0" w:space="0" w:color="auto"/>
      </w:divBdr>
      <w:divsChild>
        <w:div w:id="1300501701">
          <w:marLeft w:val="0"/>
          <w:marRight w:val="0"/>
          <w:marTop w:val="0"/>
          <w:marBottom w:val="0"/>
          <w:divBdr>
            <w:top w:val="none" w:sz="0" w:space="0" w:color="auto"/>
            <w:left w:val="none" w:sz="0" w:space="0" w:color="auto"/>
            <w:bottom w:val="none" w:sz="0" w:space="0" w:color="auto"/>
            <w:right w:val="none" w:sz="0" w:space="0" w:color="auto"/>
          </w:divBdr>
        </w:div>
        <w:div w:id="1762288899">
          <w:marLeft w:val="0"/>
          <w:marRight w:val="0"/>
          <w:marTop w:val="0"/>
          <w:marBottom w:val="0"/>
          <w:divBdr>
            <w:top w:val="none" w:sz="0" w:space="0" w:color="auto"/>
            <w:left w:val="none" w:sz="0" w:space="0" w:color="auto"/>
            <w:bottom w:val="none" w:sz="0" w:space="0" w:color="auto"/>
            <w:right w:val="none" w:sz="0" w:space="0" w:color="auto"/>
          </w:divBdr>
        </w:div>
      </w:divsChild>
    </w:div>
    <w:div w:id="1504052944">
      <w:bodyDiv w:val="1"/>
      <w:marLeft w:val="0"/>
      <w:marRight w:val="0"/>
      <w:marTop w:val="0"/>
      <w:marBottom w:val="0"/>
      <w:divBdr>
        <w:top w:val="none" w:sz="0" w:space="0" w:color="auto"/>
        <w:left w:val="none" w:sz="0" w:space="0" w:color="auto"/>
        <w:bottom w:val="none" w:sz="0" w:space="0" w:color="auto"/>
        <w:right w:val="none" w:sz="0" w:space="0" w:color="auto"/>
      </w:divBdr>
      <w:divsChild>
        <w:div w:id="49111720">
          <w:marLeft w:val="0"/>
          <w:marRight w:val="0"/>
          <w:marTop w:val="0"/>
          <w:marBottom w:val="0"/>
          <w:divBdr>
            <w:top w:val="none" w:sz="0" w:space="0" w:color="auto"/>
            <w:left w:val="none" w:sz="0" w:space="0" w:color="auto"/>
            <w:bottom w:val="none" w:sz="0" w:space="0" w:color="auto"/>
            <w:right w:val="none" w:sz="0" w:space="0" w:color="auto"/>
          </w:divBdr>
        </w:div>
        <w:div w:id="603221407">
          <w:marLeft w:val="0"/>
          <w:marRight w:val="0"/>
          <w:marTop w:val="0"/>
          <w:marBottom w:val="0"/>
          <w:divBdr>
            <w:top w:val="none" w:sz="0" w:space="0" w:color="auto"/>
            <w:left w:val="none" w:sz="0" w:space="0" w:color="auto"/>
            <w:bottom w:val="none" w:sz="0" w:space="0" w:color="auto"/>
            <w:right w:val="none" w:sz="0" w:space="0" w:color="auto"/>
          </w:divBdr>
        </w:div>
        <w:div w:id="1323461640">
          <w:marLeft w:val="0"/>
          <w:marRight w:val="0"/>
          <w:marTop w:val="0"/>
          <w:marBottom w:val="0"/>
          <w:divBdr>
            <w:top w:val="none" w:sz="0" w:space="0" w:color="auto"/>
            <w:left w:val="none" w:sz="0" w:space="0" w:color="auto"/>
            <w:bottom w:val="none" w:sz="0" w:space="0" w:color="auto"/>
            <w:right w:val="none" w:sz="0" w:space="0" w:color="auto"/>
          </w:divBdr>
        </w:div>
      </w:divsChild>
    </w:div>
    <w:div w:id="1537160713">
      <w:bodyDiv w:val="1"/>
      <w:marLeft w:val="0"/>
      <w:marRight w:val="0"/>
      <w:marTop w:val="0"/>
      <w:marBottom w:val="0"/>
      <w:divBdr>
        <w:top w:val="none" w:sz="0" w:space="0" w:color="auto"/>
        <w:left w:val="none" w:sz="0" w:space="0" w:color="auto"/>
        <w:bottom w:val="none" w:sz="0" w:space="0" w:color="auto"/>
        <w:right w:val="none" w:sz="0" w:space="0" w:color="auto"/>
      </w:divBdr>
      <w:divsChild>
        <w:div w:id="1133525826">
          <w:marLeft w:val="0"/>
          <w:marRight w:val="0"/>
          <w:marTop w:val="0"/>
          <w:marBottom w:val="0"/>
          <w:divBdr>
            <w:top w:val="none" w:sz="0" w:space="0" w:color="auto"/>
            <w:left w:val="none" w:sz="0" w:space="0" w:color="auto"/>
            <w:bottom w:val="none" w:sz="0" w:space="0" w:color="auto"/>
            <w:right w:val="none" w:sz="0" w:space="0" w:color="auto"/>
          </w:divBdr>
        </w:div>
        <w:div w:id="2072382444">
          <w:marLeft w:val="0"/>
          <w:marRight w:val="0"/>
          <w:marTop w:val="0"/>
          <w:marBottom w:val="0"/>
          <w:divBdr>
            <w:top w:val="none" w:sz="0" w:space="0" w:color="auto"/>
            <w:left w:val="none" w:sz="0" w:space="0" w:color="auto"/>
            <w:bottom w:val="none" w:sz="0" w:space="0" w:color="auto"/>
            <w:right w:val="none" w:sz="0" w:space="0" w:color="auto"/>
          </w:divBdr>
        </w:div>
      </w:divsChild>
    </w:div>
    <w:div w:id="1545173446">
      <w:bodyDiv w:val="1"/>
      <w:marLeft w:val="0"/>
      <w:marRight w:val="0"/>
      <w:marTop w:val="0"/>
      <w:marBottom w:val="0"/>
      <w:divBdr>
        <w:top w:val="none" w:sz="0" w:space="0" w:color="auto"/>
        <w:left w:val="none" w:sz="0" w:space="0" w:color="auto"/>
        <w:bottom w:val="none" w:sz="0" w:space="0" w:color="auto"/>
        <w:right w:val="none" w:sz="0" w:space="0" w:color="auto"/>
      </w:divBdr>
      <w:divsChild>
        <w:div w:id="1602102764">
          <w:marLeft w:val="0"/>
          <w:marRight w:val="0"/>
          <w:marTop w:val="0"/>
          <w:marBottom w:val="0"/>
          <w:divBdr>
            <w:top w:val="none" w:sz="0" w:space="0" w:color="auto"/>
            <w:left w:val="none" w:sz="0" w:space="0" w:color="auto"/>
            <w:bottom w:val="none" w:sz="0" w:space="0" w:color="auto"/>
            <w:right w:val="none" w:sz="0" w:space="0" w:color="auto"/>
          </w:divBdr>
        </w:div>
      </w:divsChild>
    </w:div>
    <w:div w:id="1573270518">
      <w:bodyDiv w:val="1"/>
      <w:marLeft w:val="0"/>
      <w:marRight w:val="0"/>
      <w:marTop w:val="0"/>
      <w:marBottom w:val="0"/>
      <w:divBdr>
        <w:top w:val="none" w:sz="0" w:space="0" w:color="auto"/>
        <w:left w:val="none" w:sz="0" w:space="0" w:color="auto"/>
        <w:bottom w:val="none" w:sz="0" w:space="0" w:color="auto"/>
        <w:right w:val="none" w:sz="0" w:space="0" w:color="auto"/>
      </w:divBdr>
    </w:div>
    <w:div w:id="1721393131">
      <w:bodyDiv w:val="1"/>
      <w:marLeft w:val="0"/>
      <w:marRight w:val="0"/>
      <w:marTop w:val="0"/>
      <w:marBottom w:val="0"/>
      <w:divBdr>
        <w:top w:val="none" w:sz="0" w:space="0" w:color="auto"/>
        <w:left w:val="none" w:sz="0" w:space="0" w:color="auto"/>
        <w:bottom w:val="none" w:sz="0" w:space="0" w:color="auto"/>
        <w:right w:val="none" w:sz="0" w:space="0" w:color="auto"/>
      </w:divBdr>
      <w:divsChild>
        <w:div w:id="176386996">
          <w:marLeft w:val="0"/>
          <w:marRight w:val="0"/>
          <w:marTop w:val="0"/>
          <w:marBottom w:val="0"/>
          <w:divBdr>
            <w:top w:val="none" w:sz="0" w:space="0" w:color="auto"/>
            <w:left w:val="none" w:sz="0" w:space="0" w:color="auto"/>
            <w:bottom w:val="none" w:sz="0" w:space="0" w:color="auto"/>
            <w:right w:val="none" w:sz="0" w:space="0" w:color="auto"/>
          </w:divBdr>
        </w:div>
        <w:div w:id="1963078015">
          <w:marLeft w:val="0"/>
          <w:marRight w:val="0"/>
          <w:marTop w:val="0"/>
          <w:marBottom w:val="0"/>
          <w:divBdr>
            <w:top w:val="none" w:sz="0" w:space="0" w:color="auto"/>
            <w:left w:val="none" w:sz="0" w:space="0" w:color="auto"/>
            <w:bottom w:val="none" w:sz="0" w:space="0" w:color="auto"/>
            <w:right w:val="none" w:sz="0" w:space="0" w:color="auto"/>
          </w:divBdr>
        </w:div>
        <w:div w:id="2092848774">
          <w:marLeft w:val="0"/>
          <w:marRight w:val="0"/>
          <w:marTop w:val="0"/>
          <w:marBottom w:val="0"/>
          <w:divBdr>
            <w:top w:val="none" w:sz="0" w:space="0" w:color="auto"/>
            <w:left w:val="none" w:sz="0" w:space="0" w:color="auto"/>
            <w:bottom w:val="none" w:sz="0" w:space="0" w:color="auto"/>
            <w:right w:val="none" w:sz="0" w:space="0" w:color="auto"/>
          </w:divBdr>
        </w:div>
      </w:divsChild>
    </w:div>
    <w:div w:id="1802111655">
      <w:bodyDiv w:val="1"/>
      <w:marLeft w:val="0"/>
      <w:marRight w:val="0"/>
      <w:marTop w:val="0"/>
      <w:marBottom w:val="0"/>
      <w:divBdr>
        <w:top w:val="none" w:sz="0" w:space="0" w:color="auto"/>
        <w:left w:val="none" w:sz="0" w:space="0" w:color="auto"/>
        <w:bottom w:val="none" w:sz="0" w:space="0" w:color="auto"/>
        <w:right w:val="none" w:sz="0" w:space="0" w:color="auto"/>
      </w:divBdr>
    </w:div>
    <w:div w:id="1803648963">
      <w:bodyDiv w:val="1"/>
      <w:marLeft w:val="0"/>
      <w:marRight w:val="0"/>
      <w:marTop w:val="0"/>
      <w:marBottom w:val="0"/>
      <w:divBdr>
        <w:top w:val="none" w:sz="0" w:space="0" w:color="auto"/>
        <w:left w:val="none" w:sz="0" w:space="0" w:color="auto"/>
        <w:bottom w:val="none" w:sz="0" w:space="0" w:color="auto"/>
        <w:right w:val="none" w:sz="0" w:space="0" w:color="auto"/>
      </w:divBdr>
      <w:divsChild>
        <w:div w:id="378208776">
          <w:marLeft w:val="0"/>
          <w:marRight w:val="0"/>
          <w:marTop w:val="0"/>
          <w:marBottom w:val="0"/>
          <w:divBdr>
            <w:top w:val="none" w:sz="0" w:space="0" w:color="auto"/>
            <w:left w:val="none" w:sz="0" w:space="0" w:color="auto"/>
            <w:bottom w:val="none" w:sz="0" w:space="0" w:color="auto"/>
            <w:right w:val="none" w:sz="0" w:space="0" w:color="auto"/>
          </w:divBdr>
        </w:div>
        <w:div w:id="1037125814">
          <w:marLeft w:val="0"/>
          <w:marRight w:val="0"/>
          <w:marTop w:val="0"/>
          <w:marBottom w:val="0"/>
          <w:divBdr>
            <w:top w:val="none" w:sz="0" w:space="0" w:color="auto"/>
            <w:left w:val="none" w:sz="0" w:space="0" w:color="auto"/>
            <w:bottom w:val="none" w:sz="0" w:space="0" w:color="auto"/>
            <w:right w:val="none" w:sz="0" w:space="0" w:color="auto"/>
          </w:divBdr>
        </w:div>
      </w:divsChild>
    </w:div>
    <w:div w:id="1843465967">
      <w:bodyDiv w:val="1"/>
      <w:marLeft w:val="0"/>
      <w:marRight w:val="0"/>
      <w:marTop w:val="0"/>
      <w:marBottom w:val="0"/>
      <w:divBdr>
        <w:top w:val="none" w:sz="0" w:space="0" w:color="auto"/>
        <w:left w:val="none" w:sz="0" w:space="0" w:color="auto"/>
        <w:bottom w:val="none" w:sz="0" w:space="0" w:color="auto"/>
        <w:right w:val="none" w:sz="0" w:space="0" w:color="auto"/>
      </w:divBdr>
      <w:divsChild>
        <w:div w:id="674571021">
          <w:marLeft w:val="0"/>
          <w:marRight w:val="0"/>
          <w:marTop w:val="0"/>
          <w:marBottom w:val="0"/>
          <w:divBdr>
            <w:top w:val="none" w:sz="0" w:space="0" w:color="auto"/>
            <w:left w:val="none" w:sz="0" w:space="0" w:color="auto"/>
            <w:bottom w:val="none" w:sz="0" w:space="0" w:color="auto"/>
            <w:right w:val="none" w:sz="0" w:space="0" w:color="auto"/>
          </w:divBdr>
        </w:div>
        <w:div w:id="1137068573">
          <w:marLeft w:val="0"/>
          <w:marRight w:val="0"/>
          <w:marTop w:val="0"/>
          <w:marBottom w:val="0"/>
          <w:divBdr>
            <w:top w:val="none" w:sz="0" w:space="0" w:color="auto"/>
            <w:left w:val="none" w:sz="0" w:space="0" w:color="auto"/>
            <w:bottom w:val="none" w:sz="0" w:space="0" w:color="auto"/>
            <w:right w:val="none" w:sz="0" w:space="0" w:color="auto"/>
          </w:divBdr>
        </w:div>
        <w:div w:id="1263487457">
          <w:marLeft w:val="0"/>
          <w:marRight w:val="0"/>
          <w:marTop w:val="0"/>
          <w:marBottom w:val="0"/>
          <w:divBdr>
            <w:top w:val="none" w:sz="0" w:space="0" w:color="auto"/>
            <w:left w:val="none" w:sz="0" w:space="0" w:color="auto"/>
            <w:bottom w:val="none" w:sz="0" w:space="0" w:color="auto"/>
            <w:right w:val="none" w:sz="0" w:space="0" w:color="auto"/>
          </w:divBdr>
        </w:div>
      </w:divsChild>
    </w:div>
    <w:div w:id="1844316304">
      <w:bodyDiv w:val="1"/>
      <w:marLeft w:val="0"/>
      <w:marRight w:val="0"/>
      <w:marTop w:val="0"/>
      <w:marBottom w:val="0"/>
      <w:divBdr>
        <w:top w:val="none" w:sz="0" w:space="0" w:color="auto"/>
        <w:left w:val="none" w:sz="0" w:space="0" w:color="auto"/>
        <w:bottom w:val="none" w:sz="0" w:space="0" w:color="auto"/>
        <w:right w:val="none" w:sz="0" w:space="0" w:color="auto"/>
      </w:divBdr>
    </w:div>
    <w:div w:id="2009943680">
      <w:bodyDiv w:val="1"/>
      <w:marLeft w:val="0"/>
      <w:marRight w:val="0"/>
      <w:marTop w:val="0"/>
      <w:marBottom w:val="0"/>
      <w:divBdr>
        <w:top w:val="none" w:sz="0" w:space="0" w:color="auto"/>
        <w:left w:val="none" w:sz="0" w:space="0" w:color="auto"/>
        <w:bottom w:val="none" w:sz="0" w:space="0" w:color="auto"/>
        <w:right w:val="none" w:sz="0" w:space="0" w:color="auto"/>
      </w:divBdr>
      <w:divsChild>
        <w:div w:id="771359832">
          <w:marLeft w:val="0"/>
          <w:marRight w:val="0"/>
          <w:marTop w:val="0"/>
          <w:marBottom w:val="0"/>
          <w:divBdr>
            <w:top w:val="none" w:sz="0" w:space="0" w:color="auto"/>
            <w:left w:val="none" w:sz="0" w:space="0" w:color="auto"/>
            <w:bottom w:val="none" w:sz="0" w:space="0" w:color="auto"/>
            <w:right w:val="none" w:sz="0" w:space="0" w:color="auto"/>
          </w:divBdr>
        </w:div>
        <w:div w:id="946352508">
          <w:marLeft w:val="0"/>
          <w:marRight w:val="0"/>
          <w:marTop w:val="0"/>
          <w:marBottom w:val="0"/>
          <w:divBdr>
            <w:top w:val="none" w:sz="0" w:space="0" w:color="auto"/>
            <w:left w:val="none" w:sz="0" w:space="0" w:color="auto"/>
            <w:bottom w:val="none" w:sz="0" w:space="0" w:color="auto"/>
            <w:right w:val="none" w:sz="0" w:space="0" w:color="auto"/>
          </w:divBdr>
        </w:div>
        <w:div w:id="1018391064">
          <w:marLeft w:val="0"/>
          <w:marRight w:val="0"/>
          <w:marTop w:val="0"/>
          <w:marBottom w:val="0"/>
          <w:divBdr>
            <w:top w:val="none" w:sz="0" w:space="0" w:color="auto"/>
            <w:left w:val="none" w:sz="0" w:space="0" w:color="auto"/>
            <w:bottom w:val="none" w:sz="0" w:space="0" w:color="auto"/>
            <w:right w:val="none" w:sz="0" w:space="0" w:color="auto"/>
          </w:divBdr>
        </w:div>
      </w:divsChild>
    </w:div>
    <w:div w:id="2045977354">
      <w:bodyDiv w:val="1"/>
      <w:marLeft w:val="0"/>
      <w:marRight w:val="0"/>
      <w:marTop w:val="0"/>
      <w:marBottom w:val="0"/>
      <w:divBdr>
        <w:top w:val="none" w:sz="0" w:space="0" w:color="auto"/>
        <w:left w:val="none" w:sz="0" w:space="0" w:color="auto"/>
        <w:bottom w:val="none" w:sz="0" w:space="0" w:color="auto"/>
        <w:right w:val="none" w:sz="0" w:space="0" w:color="auto"/>
      </w:divBdr>
    </w:div>
    <w:div w:id="20506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a.mergl@csh.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7fee42a-3d9b-40b2-843d-8fdfbad9c7e0">
      <Terms xmlns="http://schemas.microsoft.com/office/infopath/2007/PartnerControls"/>
    </lcf76f155ced4ddcb4097134ff3c332f>
    <_ip_UnifiedCompliancePolicyProperties xmlns="http://schemas.microsoft.com/sharepoint/v3" xsi:nil="true"/>
    <TaxCatchAll xmlns="ed027061-e320-4c0b-9818-f6e805c68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350CE41AE09846AD1B950797338D1D" ma:contentTypeVersion="21" ma:contentTypeDescription="Create a new document." ma:contentTypeScope="" ma:versionID="8d2217f47f65e87f57e4795077bab5cb">
  <xsd:schema xmlns:xsd="http://www.w3.org/2001/XMLSchema" xmlns:xs="http://www.w3.org/2001/XMLSchema" xmlns:p="http://schemas.microsoft.com/office/2006/metadata/properties" xmlns:ns1="http://schemas.microsoft.com/sharepoint/v3" xmlns:ns2="97fee42a-3d9b-40b2-843d-8fdfbad9c7e0" xmlns:ns3="ed027061-e320-4c0b-9818-f6e805c688a1" targetNamespace="http://schemas.microsoft.com/office/2006/metadata/properties" ma:root="true" ma:fieldsID="1ddb0f881fedd80c174ceaf6e1424e57" ns1:_="" ns2:_="" ns3:_="">
    <xsd:import namespace="http://schemas.microsoft.com/sharepoint/v3"/>
    <xsd:import namespace="97fee42a-3d9b-40b2-843d-8fdfbad9c7e0"/>
    <xsd:import namespace="ed027061-e320-4c0b-9818-f6e805c688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ee42a-3d9b-40b2-843d-8fdfbad9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7ce960-2eed-402e-805c-21ba145734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27061-e320-4c0b-9818-f6e805c688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6100cc-41e1-4158-b12a-38a020ebb534}" ma:internalName="TaxCatchAll" ma:showField="CatchAllData" ma:web="ed027061-e320-4c0b-9818-f6e805c68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5673-BCA2-42E9-B88F-21B7D4FAD291}">
  <ds:schemaRefs>
    <ds:schemaRef ds:uri="http://schemas.microsoft.com/office/2006/metadata/properties"/>
    <ds:schemaRef ds:uri="http://schemas.microsoft.com/office/infopath/2007/PartnerControls"/>
    <ds:schemaRef ds:uri="http://schemas.microsoft.com/sharepoint/v3"/>
    <ds:schemaRef ds:uri="97fee42a-3d9b-40b2-843d-8fdfbad9c7e0"/>
    <ds:schemaRef ds:uri="ed027061-e320-4c0b-9818-f6e805c688a1"/>
  </ds:schemaRefs>
</ds:datastoreItem>
</file>

<file path=customXml/itemProps2.xml><?xml version="1.0" encoding="utf-8"?>
<ds:datastoreItem xmlns:ds="http://schemas.openxmlformats.org/officeDocument/2006/customXml" ds:itemID="{C19FAB7C-BA5A-4ED0-8004-9E1C26DFC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fee42a-3d9b-40b2-843d-8fdfbad9c7e0"/>
    <ds:schemaRef ds:uri="ed027061-e320-4c0b-9818-f6e805c68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B2828-4BB8-454F-AC3D-81090B52EC0A}">
  <ds:schemaRefs>
    <ds:schemaRef ds:uri="http://schemas.microsoft.com/sharepoint/v3/contenttype/forms"/>
  </ds:schemaRefs>
</ds:datastoreItem>
</file>

<file path=customXml/itemProps4.xml><?xml version="1.0" encoding="utf-8"?>
<ds:datastoreItem xmlns:ds="http://schemas.openxmlformats.org/officeDocument/2006/customXml" ds:itemID="{515EBE57-BBA8-4163-86A0-5D3CDF02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1644</Words>
  <Characters>9377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Mergl (she/her)</dc:creator>
  <cp:keywords/>
  <dc:description/>
  <cp:lastModifiedBy>Kara Mergl (she/her)</cp:lastModifiedBy>
  <cp:revision>280</cp:revision>
  <dcterms:created xsi:type="dcterms:W3CDTF">2025-06-18T18:41:00Z</dcterms:created>
  <dcterms:modified xsi:type="dcterms:W3CDTF">2025-06-24T17:03:00Z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0x0101000C350CE41AE09846AD1B950797338D1D</vt:lpwstr>
  </property>
  <property fmtid="{D5CDD505-2E9C-101B-9397-08002B2CF9AE}" pid="3" name="MediaServiceImageTags">
    <vt:lpwstr/>
  </property>
</Properties>
</file>