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200" w:type="dxa"/>
        <w:jc w:val="center"/>
        <w:tblCellSpacing w:w="0" w:type="dxa"/>
        <w:tblBorders>
          <w:top w:val="single" w:sz="8" w:space="0" w:color="DDDDDD"/>
          <w:left w:val="single" w:sz="8" w:space="0" w:color="DDDDDD"/>
          <w:bottom w:val="single" w:sz="8" w:space="0" w:color="DDDDDD"/>
          <w:right w:val="single" w:sz="8" w:space="0" w:color="DDDDDD"/>
        </w:tblBorders>
        <w:shd w:val="clear" w:color="auto" w:fill="FFFFFF"/>
        <w:tblCellMar>
          <w:left w:w="0" w:type="dxa"/>
          <w:right w:w="0" w:type="dxa"/>
        </w:tblCellMar>
        <w:tblLook w:val="04A0"/>
      </w:tblPr>
      <w:tblGrid>
        <w:gridCol w:w="9330"/>
      </w:tblGrid>
      <w:tr w:rsidR="0076650B" w:rsidTr="0076650B">
        <w:trPr>
          <w:tblCellSpacing w:w="0" w:type="dxa"/>
          <w:jc w:val="center"/>
        </w:trPr>
        <w:tc>
          <w:tcPr>
            <w:tcW w:w="0" w:type="auto"/>
            <w:tcBorders>
              <w:top w:val="nil"/>
              <w:left w:val="nil"/>
              <w:bottom w:val="nil"/>
              <w:right w:val="nil"/>
            </w:tcBorders>
            <w:shd w:val="clear" w:color="auto" w:fill="FFFFFF"/>
            <w:hideMark/>
          </w:tcPr>
          <w:tbl>
            <w:tblPr>
              <w:tblW w:w="5000" w:type="pct"/>
              <w:jc w:val="center"/>
              <w:tblCellSpacing w:w="0" w:type="dxa"/>
              <w:shd w:val="clear" w:color="auto" w:fill="FFFFFF"/>
              <w:tblCellMar>
                <w:left w:w="0" w:type="dxa"/>
                <w:right w:w="0" w:type="dxa"/>
              </w:tblCellMar>
              <w:tblLook w:val="04A0"/>
            </w:tblPr>
            <w:tblGrid>
              <w:gridCol w:w="9310"/>
            </w:tblGrid>
            <w:tr w:rsidR="0076650B">
              <w:trPr>
                <w:tblCellSpacing w:w="0" w:type="dxa"/>
                <w:jc w:val="center"/>
              </w:trPr>
              <w:tc>
                <w:tcPr>
                  <w:tcW w:w="0" w:type="auto"/>
                  <w:shd w:val="clear" w:color="auto" w:fill="FFFFFF"/>
                  <w:vAlign w:val="center"/>
                  <w:hideMark/>
                </w:tcPr>
                <w:p w:rsidR="0076650B" w:rsidRDefault="0076650B">
                  <w:r>
                    <w:rPr>
                      <w:noProof/>
                      <w:color w:val="607890"/>
                    </w:rPr>
                    <w:drawing>
                      <wp:inline distT="0" distB="0" distL="0" distR="0">
                        <wp:extent cx="5905500" cy="1905000"/>
                        <wp:effectExtent l="19050" t="0" r="0" b="0"/>
                        <wp:docPr id="1" name="Picture 1" descr="Heath Care Reform">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th Care Reform"/>
                                <pic:cNvPicPr>
                                  <a:picLocks noChangeAspect="1" noChangeArrowheads="1"/>
                                </pic:cNvPicPr>
                              </pic:nvPicPr>
                              <pic:blipFill>
                                <a:blip r:embed="rId5" cstate="print"/>
                                <a:srcRect/>
                                <a:stretch>
                                  <a:fillRect/>
                                </a:stretch>
                              </pic:blipFill>
                              <pic:spPr bwMode="auto">
                                <a:xfrm>
                                  <a:off x="0" y="0"/>
                                  <a:ext cx="5905500" cy="1905000"/>
                                </a:xfrm>
                                <a:prstGeom prst="rect">
                                  <a:avLst/>
                                </a:prstGeom>
                                <a:noFill/>
                                <a:ln w="9525">
                                  <a:noFill/>
                                  <a:miter lim="800000"/>
                                  <a:headEnd/>
                                  <a:tailEnd/>
                                </a:ln>
                              </pic:spPr>
                            </pic:pic>
                          </a:graphicData>
                        </a:graphic>
                      </wp:inline>
                    </w:drawing>
                  </w:r>
                </w:p>
              </w:tc>
            </w:tr>
          </w:tbl>
          <w:p w:rsidR="0076650B" w:rsidRDefault="0076650B">
            <w:pPr>
              <w:jc w:val="center"/>
              <w:rPr>
                <w:rFonts w:eastAsia="Times New Roman"/>
                <w:sz w:val="20"/>
                <w:szCs w:val="20"/>
              </w:rPr>
            </w:pPr>
          </w:p>
        </w:tc>
      </w:tr>
      <w:tr w:rsidR="0076650B" w:rsidTr="0076650B">
        <w:trPr>
          <w:tblCellSpacing w:w="0" w:type="dxa"/>
          <w:jc w:val="center"/>
        </w:trPr>
        <w:tc>
          <w:tcPr>
            <w:tcW w:w="0" w:type="auto"/>
            <w:tcBorders>
              <w:top w:val="nil"/>
              <w:left w:val="nil"/>
              <w:bottom w:val="nil"/>
              <w:right w:val="nil"/>
            </w:tcBorders>
            <w:shd w:val="clear" w:color="auto" w:fill="FFFFFF"/>
            <w:hideMark/>
          </w:tcPr>
          <w:tbl>
            <w:tblPr>
              <w:tblW w:w="5000" w:type="pct"/>
              <w:jc w:val="center"/>
              <w:tblCellSpacing w:w="60" w:type="dxa"/>
              <w:tblCellMar>
                <w:left w:w="0" w:type="dxa"/>
                <w:right w:w="0" w:type="dxa"/>
              </w:tblCellMar>
              <w:tblLook w:val="04A0"/>
            </w:tblPr>
            <w:tblGrid>
              <w:gridCol w:w="3499"/>
              <w:gridCol w:w="5831"/>
            </w:tblGrid>
            <w:tr w:rsidR="0076650B">
              <w:trPr>
                <w:tblCellSpacing w:w="60" w:type="dxa"/>
                <w:jc w:val="center"/>
              </w:trPr>
              <w:tc>
                <w:tcPr>
                  <w:tcW w:w="1850" w:type="pct"/>
                  <w:shd w:val="clear" w:color="auto" w:fill="ECECEA"/>
                  <w:tcMar>
                    <w:top w:w="15" w:type="dxa"/>
                    <w:left w:w="15" w:type="dxa"/>
                    <w:bottom w:w="15" w:type="dxa"/>
                    <w:right w:w="15" w:type="dxa"/>
                  </w:tcMar>
                </w:tcPr>
                <w:tbl>
                  <w:tblPr>
                    <w:tblW w:w="0" w:type="auto"/>
                    <w:jc w:val="center"/>
                    <w:tblCellSpacing w:w="18" w:type="dxa"/>
                    <w:tblCellMar>
                      <w:left w:w="0" w:type="dxa"/>
                      <w:right w:w="0" w:type="dxa"/>
                    </w:tblCellMar>
                    <w:tblLook w:val="04A0"/>
                  </w:tblPr>
                  <w:tblGrid>
                    <w:gridCol w:w="2502"/>
                  </w:tblGrid>
                  <w:tr w:rsidR="0076650B">
                    <w:trPr>
                      <w:tblCellSpacing w:w="18" w:type="dxa"/>
                      <w:jc w:val="center"/>
                    </w:trPr>
                    <w:tc>
                      <w:tcPr>
                        <w:tcW w:w="2352" w:type="dxa"/>
                        <w:tcMar>
                          <w:top w:w="15" w:type="dxa"/>
                          <w:left w:w="15" w:type="dxa"/>
                          <w:bottom w:w="15" w:type="dxa"/>
                          <w:right w:w="15" w:type="dxa"/>
                        </w:tcMar>
                        <w:vAlign w:val="center"/>
                        <w:hideMark/>
                      </w:tcPr>
                      <w:tbl>
                        <w:tblPr>
                          <w:tblpPr w:leftFromText="36" w:rightFromText="36" w:vertAnchor="text"/>
                          <w:tblW w:w="2400" w:type="dxa"/>
                          <w:tblCellSpacing w:w="0" w:type="dxa"/>
                          <w:tblCellMar>
                            <w:left w:w="0" w:type="dxa"/>
                            <w:right w:w="0" w:type="dxa"/>
                          </w:tblCellMar>
                          <w:tblLook w:val="04A0"/>
                        </w:tblPr>
                        <w:tblGrid>
                          <w:gridCol w:w="2400"/>
                        </w:tblGrid>
                        <w:tr w:rsidR="0076650B">
                          <w:trPr>
                            <w:tblCellSpacing w:w="0" w:type="dxa"/>
                          </w:trPr>
                          <w:tc>
                            <w:tcPr>
                              <w:tcW w:w="0" w:type="auto"/>
                              <w:shd w:val="clear" w:color="auto" w:fill="004080"/>
                              <w:vAlign w:val="center"/>
                              <w:hideMark/>
                            </w:tcPr>
                            <w:p w:rsidR="0076650B" w:rsidRDefault="0076650B">
                              <w:pPr>
                                <w:pStyle w:val="Heading4"/>
                                <w:jc w:val="center"/>
                                <w:rPr>
                                  <w:rFonts w:ascii="Arial" w:eastAsia="Times New Roman" w:hAnsi="Arial" w:cs="Arial"/>
                                  <w:color w:val="FFFFFF"/>
                                  <w:sz w:val="22"/>
                                  <w:szCs w:val="22"/>
                                </w:rPr>
                              </w:pPr>
                              <w:r>
                                <w:rPr>
                                  <w:rFonts w:ascii="Arial" w:eastAsia="Times New Roman" w:hAnsi="Arial" w:cs="Arial"/>
                                  <w:color w:val="FFFFFF"/>
                                  <w:sz w:val="22"/>
                                  <w:szCs w:val="22"/>
                                </w:rPr>
                                <w:t>More HCR INFO</w:t>
                              </w:r>
                            </w:p>
                          </w:tc>
                        </w:tr>
                        <w:tr w:rsidR="0076650B">
                          <w:trPr>
                            <w:tblCellSpacing w:w="0" w:type="dxa"/>
                          </w:trPr>
                          <w:tc>
                            <w:tcPr>
                              <w:tcW w:w="0" w:type="auto"/>
                            </w:tcPr>
                            <w:tbl>
                              <w:tblPr>
                                <w:tblW w:w="5000" w:type="pct"/>
                                <w:tblCellSpacing w:w="18" w:type="dxa"/>
                                <w:tblBorders>
                                  <w:bottom w:val="single" w:sz="8" w:space="0" w:color="CCCCCC"/>
                                </w:tblBorders>
                                <w:tblCellMar>
                                  <w:left w:w="0" w:type="dxa"/>
                                  <w:right w:w="0" w:type="dxa"/>
                                </w:tblCellMar>
                                <w:tblLook w:val="04A0"/>
                              </w:tblPr>
                              <w:tblGrid>
                                <w:gridCol w:w="564"/>
                                <w:gridCol w:w="1836"/>
                              </w:tblGrid>
                              <w:tr w:rsidR="0076650B">
                                <w:trPr>
                                  <w:tblCellSpacing w:w="18" w:type="dxa"/>
                                </w:trPr>
                                <w:tc>
                                  <w:tcPr>
                                    <w:tcW w:w="950" w:type="pct"/>
                                    <w:tcBorders>
                                      <w:top w:val="nil"/>
                                      <w:left w:val="nil"/>
                                      <w:bottom w:val="nil"/>
                                      <w:right w:val="nil"/>
                                    </w:tcBorders>
                                    <w:vAlign w:val="center"/>
                                    <w:hideMark/>
                                  </w:tcPr>
                                  <w:p w:rsidR="0076650B" w:rsidRDefault="0076650B">
                                    <w:pPr>
                                      <w:rPr>
                                        <w:color w:val="FFFFFF"/>
                                      </w:rPr>
                                    </w:pPr>
                                    <w:r>
                                      <w:rPr>
                                        <w:noProof/>
                                        <w:color w:val="607890"/>
                                      </w:rPr>
                                      <w:drawing>
                                        <wp:inline distT="0" distB="0" distL="0" distR="0">
                                          <wp:extent cx="304800" cy="297180"/>
                                          <wp:effectExtent l="19050" t="0" r="0" b="0"/>
                                          <wp:docPr id="2" name="Picture 2" descr="View HCR Video on HCReducation.com">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ew HCR Video on HCReducation.com"/>
                                                  <pic:cNvPicPr>
                                                    <a:picLocks noChangeAspect="1" noChangeArrowheads="1"/>
                                                  </pic:cNvPicPr>
                                                </pic:nvPicPr>
                                                <pic:blipFill>
                                                  <a:blip r:embed="rId7" cstate="print"/>
                                                  <a:srcRect/>
                                                  <a:stretch>
                                                    <a:fillRect/>
                                                  </a:stretch>
                                                </pic:blipFill>
                                                <pic:spPr bwMode="auto">
                                                  <a:xfrm>
                                                    <a:off x="0" y="0"/>
                                                    <a:ext cx="304800" cy="297180"/>
                                                  </a:xfrm>
                                                  <a:prstGeom prst="rect">
                                                    <a:avLst/>
                                                  </a:prstGeom>
                                                  <a:noFill/>
                                                  <a:ln w="9525">
                                                    <a:noFill/>
                                                    <a:miter lim="800000"/>
                                                    <a:headEnd/>
                                                    <a:tailEnd/>
                                                  </a:ln>
                                                </pic:spPr>
                                              </pic:pic>
                                            </a:graphicData>
                                          </a:graphic>
                                        </wp:inline>
                                      </w:drawing>
                                    </w:r>
                                  </w:p>
                                </w:tc>
                                <w:tc>
                                  <w:tcPr>
                                    <w:tcW w:w="4050" w:type="pct"/>
                                    <w:tcBorders>
                                      <w:top w:val="nil"/>
                                      <w:left w:val="nil"/>
                                      <w:bottom w:val="nil"/>
                                      <w:right w:val="nil"/>
                                    </w:tcBorders>
                                    <w:vAlign w:val="center"/>
                                    <w:hideMark/>
                                  </w:tcPr>
                                  <w:p w:rsidR="0076650B" w:rsidRDefault="0076650B">
                                    <w:pPr>
                                      <w:pStyle w:val="NormalWeb"/>
                                      <w:spacing w:before="0" w:beforeAutospacing="0" w:after="0" w:afterAutospacing="0"/>
                                      <w:rPr>
                                        <w:color w:val="666666"/>
                                        <w:sz w:val="17"/>
                                        <w:szCs w:val="17"/>
                                      </w:rPr>
                                    </w:pPr>
                                    <w:hyperlink r:id="rId8" w:tgtFrame="_blank" w:history="1">
                                      <w:r>
                                        <w:rPr>
                                          <w:rStyle w:val="Hyperlink"/>
                                          <w:color w:val="607890"/>
                                          <w:sz w:val="17"/>
                                          <w:szCs w:val="17"/>
                                        </w:rPr>
                                        <w:t>Watch a video.</w:t>
                                      </w:r>
                                    </w:hyperlink>
                                  </w:p>
                                </w:tc>
                              </w:tr>
                            </w:tbl>
                            <w:p w:rsidR="0076650B" w:rsidRDefault="0076650B">
                              <w:pPr>
                                <w:rPr>
                                  <w:vanish/>
                                </w:rPr>
                              </w:pPr>
                            </w:p>
                            <w:tbl>
                              <w:tblPr>
                                <w:tblW w:w="5000" w:type="pct"/>
                                <w:tblCellSpacing w:w="18" w:type="dxa"/>
                                <w:tblBorders>
                                  <w:bottom w:val="single" w:sz="8" w:space="0" w:color="CCCCCC"/>
                                </w:tblBorders>
                                <w:tblCellMar>
                                  <w:left w:w="0" w:type="dxa"/>
                                  <w:right w:w="0" w:type="dxa"/>
                                </w:tblCellMar>
                                <w:tblLook w:val="04A0"/>
                              </w:tblPr>
                              <w:tblGrid>
                                <w:gridCol w:w="564"/>
                                <w:gridCol w:w="1836"/>
                              </w:tblGrid>
                              <w:tr w:rsidR="0076650B">
                                <w:trPr>
                                  <w:tblCellSpacing w:w="18" w:type="dxa"/>
                                </w:trPr>
                                <w:tc>
                                  <w:tcPr>
                                    <w:tcW w:w="950" w:type="pct"/>
                                    <w:tcBorders>
                                      <w:top w:val="nil"/>
                                      <w:left w:val="nil"/>
                                      <w:bottom w:val="nil"/>
                                      <w:right w:val="nil"/>
                                    </w:tcBorders>
                                    <w:vAlign w:val="center"/>
                                    <w:hideMark/>
                                  </w:tcPr>
                                  <w:p w:rsidR="0076650B" w:rsidRDefault="0076650B">
                                    <w:pPr>
                                      <w:rPr>
                                        <w:color w:val="FFFFFF"/>
                                      </w:rPr>
                                    </w:pPr>
                                    <w:r>
                                      <w:rPr>
                                        <w:noProof/>
                                        <w:color w:val="607890"/>
                                      </w:rPr>
                                      <w:drawing>
                                        <wp:inline distT="0" distB="0" distL="0" distR="0">
                                          <wp:extent cx="304800" cy="297180"/>
                                          <wp:effectExtent l="19050" t="0" r="0" b="0"/>
                                          <wp:docPr id="3" name="Picture 3" descr="Read Relate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ad Related"/>
                                                  <pic:cNvPicPr>
                                                    <a:picLocks noChangeAspect="1" noChangeArrowheads="1"/>
                                                  </pic:cNvPicPr>
                                                </pic:nvPicPr>
                                                <pic:blipFill>
                                                  <a:blip r:embed="rId10" cstate="print"/>
                                                  <a:srcRect/>
                                                  <a:stretch>
                                                    <a:fillRect/>
                                                  </a:stretch>
                                                </pic:blipFill>
                                                <pic:spPr bwMode="auto">
                                                  <a:xfrm>
                                                    <a:off x="0" y="0"/>
                                                    <a:ext cx="304800" cy="297180"/>
                                                  </a:xfrm>
                                                  <a:prstGeom prst="rect">
                                                    <a:avLst/>
                                                  </a:prstGeom>
                                                  <a:noFill/>
                                                  <a:ln w="9525">
                                                    <a:noFill/>
                                                    <a:miter lim="800000"/>
                                                    <a:headEnd/>
                                                    <a:tailEnd/>
                                                  </a:ln>
                                                </pic:spPr>
                                              </pic:pic>
                                            </a:graphicData>
                                          </a:graphic>
                                        </wp:inline>
                                      </w:drawing>
                                    </w:r>
                                  </w:p>
                                </w:tc>
                                <w:tc>
                                  <w:tcPr>
                                    <w:tcW w:w="4050" w:type="pct"/>
                                    <w:tcBorders>
                                      <w:top w:val="nil"/>
                                      <w:left w:val="nil"/>
                                      <w:bottom w:val="nil"/>
                                      <w:right w:val="nil"/>
                                    </w:tcBorders>
                                    <w:vAlign w:val="center"/>
                                    <w:hideMark/>
                                  </w:tcPr>
                                  <w:p w:rsidR="0076650B" w:rsidRDefault="0076650B">
                                    <w:pPr>
                                      <w:pStyle w:val="NormalWeb"/>
                                      <w:spacing w:before="0" w:beforeAutospacing="0" w:after="0" w:afterAutospacing="0"/>
                                      <w:rPr>
                                        <w:color w:val="666666"/>
                                        <w:sz w:val="17"/>
                                        <w:szCs w:val="17"/>
                                      </w:rPr>
                                    </w:pPr>
                                    <w:hyperlink r:id="rId11" w:tgtFrame="_blank" w:history="1">
                                      <w:r>
                                        <w:rPr>
                                          <w:rStyle w:val="Hyperlink"/>
                                          <w:color w:val="607890"/>
                                          <w:sz w:val="17"/>
                                          <w:szCs w:val="17"/>
                                        </w:rPr>
                                        <w:t>Read a summary.</w:t>
                                      </w:r>
                                    </w:hyperlink>
                                  </w:p>
                                </w:tc>
                              </w:tr>
                            </w:tbl>
                            <w:p w:rsidR="0076650B" w:rsidRDefault="0076650B">
                              <w:pPr>
                                <w:rPr>
                                  <w:vanish/>
                                </w:rPr>
                              </w:pPr>
                            </w:p>
                            <w:tbl>
                              <w:tblPr>
                                <w:tblW w:w="5000" w:type="pct"/>
                                <w:tblCellSpacing w:w="18" w:type="dxa"/>
                                <w:tblBorders>
                                  <w:bottom w:val="single" w:sz="8" w:space="0" w:color="CCCCCC"/>
                                </w:tblBorders>
                                <w:tblCellMar>
                                  <w:left w:w="0" w:type="dxa"/>
                                  <w:right w:w="0" w:type="dxa"/>
                                </w:tblCellMar>
                                <w:tblLook w:val="04A0"/>
                              </w:tblPr>
                              <w:tblGrid>
                                <w:gridCol w:w="564"/>
                                <w:gridCol w:w="1836"/>
                              </w:tblGrid>
                              <w:tr w:rsidR="0076650B">
                                <w:trPr>
                                  <w:tblCellSpacing w:w="18" w:type="dxa"/>
                                </w:trPr>
                                <w:tc>
                                  <w:tcPr>
                                    <w:tcW w:w="950" w:type="pct"/>
                                    <w:tcBorders>
                                      <w:top w:val="nil"/>
                                      <w:left w:val="nil"/>
                                      <w:bottom w:val="nil"/>
                                      <w:right w:val="nil"/>
                                    </w:tcBorders>
                                    <w:vAlign w:val="center"/>
                                    <w:hideMark/>
                                  </w:tcPr>
                                  <w:p w:rsidR="0076650B" w:rsidRDefault="0076650B">
                                    <w:pPr>
                                      <w:rPr>
                                        <w:color w:val="FFFFFF"/>
                                      </w:rPr>
                                    </w:pPr>
                                    <w:r>
                                      <w:rPr>
                                        <w:noProof/>
                                        <w:color w:val="607890"/>
                                      </w:rPr>
                                      <w:drawing>
                                        <wp:inline distT="0" distB="0" distL="0" distR="0">
                                          <wp:extent cx="297180" cy="281940"/>
                                          <wp:effectExtent l="19050" t="0" r="7620" b="0"/>
                                          <wp:docPr id="4" name="Picture 4" descr="Visit HCReducation.com">
                                            <a:hlinkClick xmlns:a="http://schemas.openxmlformats.org/drawingml/2006/main"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sit HCReducation.com"/>
                                                  <pic:cNvPicPr>
                                                    <a:picLocks noChangeAspect="1" noChangeArrowheads="1"/>
                                                  </pic:cNvPicPr>
                                                </pic:nvPicPr>
                                                <pic:blipFill>
                                                  <a:blip r:embed="rId12" cstate="print"/>
                                                  <a:srcRect/>
                                                  <a:stretch>
                                                    <a:fillRect/>
                                                  </a:stretch>
                                                </pic:blipFill>
                                                <pic:spPr bwMode="auto">
                                                  <a:xfrm>
                                                    <a:off x="0" y="0"/>
                                                    <a:ext cx="297180" cy="281940"/>
                                                  </a:xfrm>
                                                  <a:prstGeom prst="rect">
                                                    <a:avLst/>
                                                  </a:prstGeom>
                                                  <a:noFill/>
                                                  <a:ln w="9525">
                                                    <a:noFill/>
                                                    <a:miter lim="800000"/>
                                                    <a:headEnd/>
                                                    <a:tailEnd/>
                                                  </a:ln>
                                                </pic:spPr>
                                              </pic:pic>
                                            </a:graphicData>
                                          </a:graphic>
                                        </wp:inline>
                                      </w:drawing>
                                    </w:r>
                                  </w:p>
                                </w:tc>
                                <w:tc>
                                  <w:tcPr>
                                    <w:tcW w:w="4050" w:type="pct"/>
                                    <w:tcBorders>
                                      <w:top w:val="nil"/>
                                      <w:left w:val="nil"/>
                                      <w:bottom w:val="nil"/>
                                      <w:right w:val="nil"/>
                                    </w:tcBorders>
                                    <w:vAlign w:val="center"/>
                                    <w:hideMark/>
                                  </w:tcPr>
                                  <w:p w:rsidR="0076650B" w:rsidRDefault="0076650B">
                                    <w:pPr>
                                      <w:pStyle w:val="NormalWeb"/>
                                      <w:spacing w:before="0" w:beforeAutospacing="0" w:after="0" w:afterAutospacing="0"/>
                                      <w:rPr>
                                        <w:color w:val="666666"/>
                                        <w:sz w:val="17"/>
                                        <w:szCs w:val="17"/>
                                      </w:rPr>
                                    </w:pPr>
                                    <w:hyperlink r:id="rId13" w:tgtFrame="_blank" w:history="1">
                                      <w:r>
                                        <w:rPr>
                                          <w:rStyle w:val="Hyperlink"/>
                                          <w:color w:val="607890"/>
                                          <w:sz w:val="17"/>
                                          <w:szCs w:val="17"/>
                                        </w:rPr>
                                        <w:t>Learn more about Health Care Reform.</w:t>
                                      </w:r>
                                    </w:hyperlink>
                                  </w:p>
                                </w:tc>
                              </w:tr>
                            </w:tbl>
                            <w:p w:rsidR="0076650B" w:rsidRDefault="0076650B">
                              <w:pPr>
                                <w:rPr>
                                  <w:rFonts w:eastAsia="Times New Roman"/>
                                </w:rPr>
                              </w:pPr>
                            </w:p>
                          </w:tc>
                        </w:tr>
                      </w:tbl>
                      <w:p w:rsidR="0076650B" w:rsidRDefault="0076650B">
                        <w:pPr>
                          <w:rPr>
                            <w:rFonts w:eastAsia="Times New Roman"/>
                            <w:sz w:val="20"/>
                            <w:szCs w:val="20"/>
                          </w:rPr>
                        </w:pPr>
                      </w:p>
                    </w:tc>
                  </w:tr>
                </w:tbl>
                <w:p w:rsidR="0076650B" w:rsidRDefault="0076650B">
                  <w:pPr>
                    <w:jc w:val="center"/>
                    <w:rPr>
                      <w:vanish/>
                    </w:rPr>
                  </w:pPr>
                </w:p>
                <w:tbl>
                  <w:tblPr>
                    <w:tblW w:w="0" w:type="auto"/>
                    <w:jc w:val="center"/>
                    <w:tblCellSpacing w:w="18" w:type="dxa"/>
                    <w:tblCellMar>
                      <w:left w:w="0" w:type="dxa"/>
                      <w:right w:w="0" w:type="dxa"/>
                    </w:tblCellMar>
                    <w:tblLook w:val="04A0"/>
                  </w:tblPr>
                  <w:tblGrid>
                    <w:gridCol w:w="3289"/>
                  </w:tblGrid>
                  <w:tr w:rsidR="0076650B">
                    <w:trPr>
                      <w:tblCellSpacing w:w="18" w:type="dxa"/>
                      <w:jc w:val="center"/>
                    </w:trPr>
                    <w:tc>
                      <w:tcPr>
                        <w:tcW w:w="0" w:type="auto"/>
                        <w:tcMar>
                          <w:top w:w="15" w:type="dxa"/>
                          <w:left w:w="15" w:type="dxa"/>
                          <w:bottom w:w="15" w:type="dxa"/>
                          <w:right w:w="15" w:type="dxa"/>
                        </w:tcMar>
                        <w:vAlign w:val="center"/>
                        <w:hideMark/>
                      </w:tcPr>
                      <w:p w:rsidR="0076650B" w:rsidRDefault="0076650B">
                        <w:pPr>
                          <w:pStyle w:val="Heading4"/>
                          <w:rPr>
                            <w:rFonts w:ascii="Helvetica" w:eastAsia="Times New Roman" w:hAnsi="Helvetica" w:cs="Helvetica"/>
                            <w:color w:val="004080"/>
                            <w:sz w:val="26"/>
                            <w:szCs w:val="26"/>
                          </w:rPr>
                        </w:pPr>
                        <w:r>
                          <w:rPr>
                            <w:rFonts w:ascii="Helvetica" w:eastAsia="Times New Roman" w:hAnsi="Helvetica" w:cs="Helvetica"/>
                            <w:color w:val="004080"/>
                            <w:sz w:val="26"/>
                            <w:szCs w:val="26"/>
                          </w:rPr>
                          <w:t>VIP Notification</w:t>
                        </w:r>
                      </w:p>
                    </w:tc>
                  </w:tr>
                  <w:tr w:rsidR="0076650B">
                    <w:trPr>
                      <w:tblCellSpacing w:w="18" w:type="dxa"/>
                      <w:jc w:val="center"/>
                    </w:trPr>
                    <w:tc>
                      <w:tcPr>
                        <w:tcW w:w="0" w:type="auto"/>
                        <w:tcMar>
                          <w:top w:w="15" w:type="dxa"/>
                          <w:left w:w="15" w:type="dxa"/>
                          <w:bottom w:w="15" w:type="dxa"/>
                          <w:right w:w="15" w:type="dxa"/>
                        </w:tcMar>
                        <w:vAlign w:val="center"/>
                        <w:hideMark/>
                      </w:tcPr>
                      <w:p w:rsidR="0076650B" w:rsidRDefault="0076650B">
                        <w:pPr>
                          <w:pStyle w:val="NormalWeb"/>
                          <w:spacing w:before="0" w:beforeAutospacing="0" w:after="0" w:afterAutospacing="0"/>
                          <w:rPr>
                            <w:rFonts w:ascii="Arial" w:hAnsi="Arial" w:cs="Arial"/>
                            <w:color w:val="666666"/>
                            <w:sz w:val="17"/>
                            <w:szCs w:val="17"/>
                          </w:rPr>
                        </w:pPr>
                        <w:r>
                          <w:rPr>
                            <w:rFonts w:ascii="Arial" w:hAnsi="Arial" w:cs="Arial"/>
                            <w:color w:val="666666"/>
                            <w:sz w:val="17"/>
                            <w:szCs w:val="17"/>
                          </w:rPr>
                          <w:t xml:space="preserve">Add your colleagues! American Fidelity is committed to monitoring Health Care Reform activity and notifying customers as new guidance becomes available. If you would like to sign up other colleagues for our "VIP notification", simply have them fill out </w:t>
                        </w:r>
                        <w:hyperlink r:id="rId14" w:tgtFrame="_blank" w:history="1">
                          <w:r>
                            <w:rPr>
                              <w:rStyle w:val="Hyperlink"/>
                              <w:rFonts w:ascii="Arial" w:hAnsi="Arial" w:cs="Arial"/>
                              <w:color w:val="607890"/>
                              <w:sz w:val="17"/>
                              <w:szCs w:val="17"/>
                            </w:rPr>
                            <w:t>this easy form</w:t>
                          </w:r>
                        </w:hyperlink>
                        <w:r>
                          <w:rPr>
                            <w:rFonts w:ascii="Arial" w:hAnsi="Arial" w:cs="Arial"/>
                            <w:color w:val="666666"/>
                            <w:sz w:val="17"/>
                            <w:szCs w:val="17"/>
                          </w:rPr>
                          <w:t xml:space="preserve"> on our website.</w:t>
                        </w:r>
                      </w:p>
                    </w:tc>
                  </w:tr>
                </w:tbl>
                <w:p w:rsidR="0076650B" w:rsidRDefault="0076650B">
                  <w:pPr>
                    <w:jc w:val="center"/>
                    <w:rPr>
                      <w:vanish/>
                    </w:rPr>
                  </w:pPr>
                </w:p>
                <w:tbl>
                  <w:tblPr>
                    <w:tblW w:w="0" w:type="auto"/>
                    <w:jc w:val="center"/>
                    <w:tblCellSpacing w:w="18" w:type="dxa"/>
                    <w:tblCellMar>
                      <w:left w:w="0" w:type="dxa"/>
                      <w:right w:w="0" w:type="dxa"/>
                    </w:tblCellMar>
                    <w:tblLook w:val="04A0"/>
                  </w:tblPr>
                  <w:tblGrid>
                    <w:gridCol w:w="3289"/>
                  </w:tblGrid>
                  <w:tr w:rsidR="0076650B">
                    <w:trPr>
                      <w:tblCellSpacing w:w="18" w:type="dxa"/>
                      <w:jc w:val="center"/>
                    </w:trPr>
                    <w:tc>
                      <w:tcPr>
                        <w:tcW w:w="0" w:type="auto"/>
                        <w:tcMar>
                          <w:top w:w="15" w:type="dxa"/>
                          <w:left w:w="15" w:type="dxa"/>
                          <w:bottom w:w="15" w:type="dxa"/>
                          <w:right w:w="15" w:type="dxa"/>
                        </w:tcMar>
                        <w:vAlign w:val="center"/>
                        <w:hideMark/>
                      </w:tcPr>
                      <w:p w:rsidR="0076650B" w:rsidRDefault="0076650B">
                        <w:pPr>
                          <w:pStyle w:val="Heading4"/>
                          <w:rPr>
                            <w:rFonts w:ascii="Helvetica" w:eastAsia="Times New Roman" w:hAnsi="Helvetica" w:cs="Helvetica"/>
                            <w:color w:val="004080"/>
                            <w:sz w:val="26"/>
                            <w:szCs w:val="26"/>
                          </w:rPr>
                        </w:pPr>
                        <w:r>
                          <w:rPr>
                            <w:rFonts w:ascii="Helvetica" w:eastAsia="Times New Roman" w:hAnsi="Helvetica" w:cs="Helvetica"/>
                            <w:color w:val="004080"/>
                            <w:sz w:val="26"/>
                            <w:szCs w:val="26"/>
                          </w:rPr>
                          <w:t>Contact</w:t>
                        </w:r>
                      </w:p>
                    </w:tc>
                  </w:tr>
                  <w:tr w:rsidR="0076650B">
                    <w:trPr>
                      <w:tblCellSpacing w:w="18" w:type="dxa"/>
                      <w:jc w:val="center"/>
                    </w:trPr>
                    <w:tc>
                      <w:tcPr>
                        <w:tcW w:w="0" w:type="auto"/>
                        <w:tcMar>
                          <w:top w:w="15" w:type="dxa"/>
                          <w:left w:w="15" w:type="dxa"/>
                          <w:bottom w:w="15" w:type="dxa"/>
                          <w:right w:w="15" w:type="dxa"/>
                        </w:tcMar>
                        <w:vAlign w:val="center"/>
                        <w:hideMark/>
                      </w:tcPr>
                      <w:p w:rsidR="0076650B" w:rsidRDefault="0076650B">
                        <w:pPr>
                          <w:pStyle w:val="NormalWeb"/>
                          <w:spacing w:before="0" w:beforeAutospacing="0" w:after="0" w:afterAutospacing="0"/>
                          <w:rPr>
                            <w:rFonts w:ascii="Arial" w:hAnsi="Arial" w:cs="Arial"/>
                            <w:color w:val="666666"/>
                            <w:sz w:val="17"/>
                            <w:szCs w:val="17"/>
                          </w:rPr>
                        </w:pPr>
                        <w:r>
                          <w:rPr>
                            <w:rFonts w:ascii="Arial" w:hAnsi="Arial" w:cs="Arial"/>
                            <w:color w:val="666666"/>
                            <w:sz w:val="17"/>
                            <w:szCs w:val="17"/>
                          </w:rPr>
                          <w:t>If you have any questions, please feel free to contact your American Fidelity Representative or call our Health Care Reform hotline at 877-302-5073.</w:t>
                        </w:r>
                      </w:p>
                    </w:tc>
                  </w:tr>
                </w:tbl>
                <w:p w:rsidR="0076650B" w:rsidRDefault="0076650B">
                  <w:pPr>
                    <w:jc w:val="center"/>
                  </w:pPr>
                  <w:r>
                    <w:rPr>
                      <w:noProof/>
                      <w:color w:val="0000FF"/>
                    </w:rPr>
                    <w:drawing>
                      <wp:inline distT="0" distB="0" distL="0" distR="0">
                        <wp:extent cx="1996440" cy="2499360"/>
                        <wp:effectExtent l="19050" t="0" r="3810" b="0"/>
                        <wp:docPr id="5" name="Picture 5" descr="American Fidelity Benefits Blog">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merican Fidelity Benefits Blog"/>
                                <pic:cNvPicPr>
                                  <a:picLocks noChangeAspect="1" noChangeArrowheads="1"/>
                                </pic:cNvPicPr>
                              </pic:nvPicPr>
                              <pic:blipFill>
                                <a:blip r:embed="rId16" cstate="print"/>
                                <a:srcRect/>
                                <a:stretch>
                                  <a:fillRect/>
                                </a:stretch>
                              </pic:blipFill>
                              <pic:spPr bwMode="auto">
                                <a:xfrm>
                                  <a:off x="0" y="0"/>
                                  <a:ext cx="1996440" cy="2499360"/>
                                </a:xfrm>
                                <a:prstGeom prst="rect">
                                  <a:avLst/>
                                </a:prstGeom>
                                <a:noFill/>
                                <a:ln w="9525">
                                  <a:noFill/>
                                  <a:miter lim="800000"/>
                                  <a:headEnd/>
                                  <a:tailEnd/>
                                </a:ln>
                              </pic:spPr>
                            </pic:pic>
                          </a:graphicData>
                        </a:graphic>
                      </wp:inline>
                    </w:drawing>
                  </w:r>
                </w:p>
              </w:tc>
              <w:tc>
                <w:tcPr>
                  <w:tcW w:w="3150" w:type="pct"/>
                  <w:tcMar>
                    <w:top w:w="15" w:type="dxa"/>
                    <w:left w:w="15" w:type="dxa"/>
                    <w:bottom w:w="15" w:type="dxa"/>
                    <w:right w:w="15" w:type="dxa"/>
                  </w:tcMar>
                  <w:hideMark/>
                </w:tcPr>
                <w:tbl>
                  <w:tblPr>
                    <w:tblW w:w="0" w:type="auto"/>
                    <w:jc w:val="center"/>
                    <w:tblCellSpacing w:w="0" w:type="dxa"/>
                    <w:shd w:val="clear" w:color="auto" w:fill="FFFFFF"/>
                    <w:tblCellMar>
                      <w:left w:w="0" w:type="dxa"/>
                      <w:right w:w="0" w:type="dxa"/>
                    </w:tblCellMar>
                    <w:tblLook w:val="04A0"/>
                  </w:tblPr>
                  <w:tblGrid>
                    <w:gridCol w:w="5621"/>
                  </w:tblGrid>
                  <w:tr w:rsidR="0076650B">
                    <w:trPr>
                      <w:tblCellSpacing w:w="0" w:type="dxa"/>
                      <w:jc w:val="center"/>
                    </w:trPr>
                    <w:tc>
                      <w:tcPr>
                        <w:tcW w:w="0" w:type="auto"/>
                        <w:shd w:val="clear" w:color="auto" w:fill="FFFFFF"/>
                        <w:hideMark/>
                      </w:tcPr>
                      <w:tbl>
                        <w:tblPr>
                          <w:tblW w:w="5000" w:type="pct"/>
                          <w:tblCellSpacing w:w="0" w:type="dxa"/>
                          <w:tblCellMar>
                            <w:left w:w="0" w:type="dxa"/>
                            <w:right w:w="0" w:type="dxa"/>
                          </w:tblCellMar>
                          <w:tblLook w:val="04A0"/>
                        </w:tblPr>
                        <w:tblGrid>
                          <w:gridCol w:w="5621"/>
                        </w:tblGrid>
                        <w:tr w:rsidR="0076650B">
                          <w:trPr>
                            <w:tblCellSpacing w:w="0" w:type="dxa"/>
                          </w:trPr>
                          <w:tc>
                            <w:tcPr>
                              <w:tcW w:w="0" w:type="auto"/>
                              <w:tcMar>
                                <w:top w:w="120" w:type="dxa"/>
                                <w:left w:w="120" w:type="dxa"/>
                                <w:bottom w:w="120" w:type="dxa"/>
                                <w:right w:w="120" w:type="dxa"/>
                              </w:tcMar>
                              <w:hideMark/>
                            </w:tcPr>
                            <w:p w:rsidR="0076650B" w:rsidRDefault="0076650B">
                              <w:pPr>
                                <w:pStyle w:val="Heading4"/>
                                <w:spacing w:before="0" w:beforeAutospacing="0"/>
                                <w:rPr>
                                  <w:rFonts w:ascii="Helvetica" w:eastAsia="Times New Roman" w:hAnsi="Helvetica" w:cs="Helvetica"/>
                                  <w:color w:val="896C33"/>
                                  <w:sz w:val="31"/>
                                  <w:szCs w:val="31"/>
                                </w:rPr>
                              </w:pPr>
                              <w:r>
                                <w:rPr>
                                  <w:rStyle w:val="Strong"/>
                                  <w:rFonts w:ascii="Helvetica" w:eastAsia="Times New Roman" w:hAnsi="Helvetica" w:cs="Helvetica"/>
                                  <w:b/>
                                  <w:bCs/>
                                  <w:color w:val="896C33"/>
                                  <w:sz w:val="31"/>
                                  <w:szCs w:val="31"/>
                                </w:rPr>
                                <w:t>IRS Announces One Year Delay of Free Rider Penalty and Employer Reporting</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 xml:space="preserve">Yesterday the </w:t>
                              </w:r>
                              <w:hyperlink r:id="rId17" w:history="1">
                                <w:r>
                                  <w:rPr>
                                    <w:rStyle w:val="Hyperlink"/>
                                    <w:rFonts w:ascii="Helvetica" w:hAnsi="Helvetica" w:cs="Helvetica"/>
                                    <w:sz w:val="17"/>
                                    <w:szCs w:val="17"/>
                                  </w:rPr>
                                  <w:t>IRS announced</w:t>
                                </w:r>
                              </w:hyperlink>
                              <w:r>
                                <w:rPr>
                                  <w:rFonts w:ascii="Helvetica" w:hAnsi="Helvetica" w:cs="Helvetica"/>
                                  <w:color w:val="505050"/>
                                  <w:sz w:val="17"/>
                                  <w:szCs w:val="17"/>
                                </w:rPr>
                                <w:t xml:space="preserve"> a one-year delay in the reports that most employers will be required to submit to the IRS.  Employers were initially required to start capturing coverage information starting January 1, 2014 with the first reports due in January 2015.  Under Health Care Reform, employers will have to report significant amounts of information on their plans and employees.  One of the primary purposes of the reporting is to help enforce the </w:t>
                              </w:r>
                              <w:hyperlink r:id="rId18" w:history="1">
                                <w:r>
                                  <w:rPr>
                                    <w:rStyle w:val="Hyperlink"/>
                                    <w:rFonts w:ascii="Helvetica" w:hAnsi="Helvetica" w:cs="Helvetica"/>
                                    <w:sz w:val="17"/>
                                    <w:szCs w:val="17"/>
                                  </w:rPr>
                                  <w:t>Free Rider Penalty</w:t>
                                </w:r>
                              </w:hyperlink>
                              <w:r>
                                <w:rPr>
                                  <w:rFonts w:ascii="Helvetica" w:hAnsi="Helvetica" w:cs="Helvetica"/>
                                  <w:color w:val="505050"/>
                                  <w:sz w:val="17"/>
                                  <w:szCs w:val="17"/>
                                </w:rPr>
                                <w:t>.  Under that rule (also called the employer shared responsibility requirement), originally effective January 1, 2014, employers with 50+ full-time equivalent employees who either fail to offer coverage to substantially all full-time employees (and their dependents), or who offer coverage that is inadequate or unaffordable, and have at least one employee enroll in Exchange coverage and qualify for a premium tax credit would have to pay a penalty tax.  Because of the delayed reporting, the IRS also delayed application of the Free Rider Penalty until 2015. </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This change leaves employers with many open questions.  The IRS expects to issue guidance on the reporting this summer.   </w:t>
                              </w:r>
                            </w:p>
                            <w:p w:rsidR="0076650B" w:rsidRDefault="0076650B">
                              <w:pPr>
                                <w:pStyle w:val="NormalWeb"/>
                                <w:spacing w:line="360" w:lineRule="auto"/>
                                <w:rPr>
                                  <w:rFonts w:ascii="Helvetica" w:hAnsi="Helvetica" w:cs="Helvetica"/>
                                  <w:color w:val="505050"/>
                                  <w:sz w:val="17"/>
                                  <w:szCs w:val="17"/>
                                </w:rPr>
                              </w:pPr>
                              <w:r>
                                <w:rPr>
                                  <w:rStyle w:val="Strong"/>
                                  <w:rFonts w:ascii="Helvetica" w:hAnsi="Helvetica" w:cs="Helvetica"/>
                                  <w:color w:val="505050"/>
                                  <w:sz w:val="17"/>
                                  <w:szCs w:val="17"/>
                                </w:rPr>
                                <w:t xml:space="preserve">No Changes to Other Health Care Reform Requirements </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 xml:space="preserve">None of the other Health Care Reform requirements have been delayed.  For example, the </w:t>
                              </w:r>
                              <w:hyperlink r:id="rId19" w:history="1">
                                <w:r>
                                  <w:rPr>
                                    <w:rStyle w:val="Hyperlink"/>
                                    <w:rFonts w:ascii="Helvetica" w:hAnsi="Helvetica" w:cs="Helvetica"/>
                                    <w:sz w:val="17"/>
                                    <w:szCs w:val="17"/>
                                  </w:rPr>
                                  <w:t>Exchanges</w:t>
                                </w:r>
                              </w:hyperlink>
                              <w:r>
                                <w:rPr>
                                  <w:rFonts w:ascii="Helvetica" w:hAnsi="Helvetica" w:cs="Helvetica"/>
                                  <w:color w:val="505050"/>
                                  <w:sz w:val="17"/>
                                  <w:szCs w:val="17"/>
                                </w:rPr>
                                <w:t xml:space="preserve"> and availability of </w:t>
                              </w:r>
                              <w:hyperlink r:id="rId20" w:history="1">
                                <w:r>
                                  <w:rPr>
                                    <w:rStyle w:val="Hyperlink"/>
                                    <w:rFonts w:ascii="Helvetica" w:hAnsi="Helvetica" w:cs="Helvetica"/>
                                    <w:sz w:val="17"/>
                                    <w:szCs w:val="17"/>
                                  </w:rPr>
                                  <w:t>federal premium tax credits</w:t>
                                </w:r>
                              </w:hyperlink>
                              <w:r>
                                <w:rPr>
                                  <w:rFonts w:ascii="Helvetica" w:hAnsi="Helvetica" w:cs="Helvetica"/>
                                  <w:color w:val="505050"/>
                                  <w:sz w:val="17"/>
                                  <w:szCs w:val="17"/>
                                </w:rPr>
                                <w:t xml:space="preserve"> will still take effect January 1, 2014 as scheduled.  This means that employers will need to communicate to employees and the Exchanges whether employer coverage is adequate and/or </w:t>
                              </w:r>
                              <w:r>
                                <w:rPr>
                                  <w:rFonts w:ascii="Helvetica" w:hAnsi="Helvetica" w:cs="Helvetica"/>
                                  <w:color w:val="505050"/>
                                  <w:sz w:val="17"/>
                                  <w:szCs w:val="17"/>
                                </w:rPr>
                                <w:lastRenderedPageBreak/>
                                <w:t xml:space="preserve">affordable.  The </w:t>
                              </w:r>
                              <w:hyperlink r:id="rId21" w:tgtFrame="_blank" w:history="1">
                                <w:r>
                                  <w:rPr>
                                    <w:rStyle w:val="Hyperlink"/>
                                    <w:rFonts w:ascii="Helvetica" w:hAnsi="Helvetica" w:cs="Helvetica"/>
                                    <w:sz w:val="17"/>
                                    <w:szCs w:val="17"/>
                                  </w:rPr>
                                  <w:t>PCORI (or CER) fee</w:t>
                                </w:r>
                              </w:hyperlink>
                              <w:r>
                                <w:rPr>
                                  <w:rFonts w:ascii="Helvetica" w:hAnsi="Helvetica" w:cs="Helvetica"/>
                                  <w:color w:val="505050"/>
                                  <w:sz w:val="17"/>
                                  <w:szCs w:val="17"/>
                                </w:rPr>
                                <w:t xml:space="preserve"> is still due for many employers by July 31, 2013 (by filing Tax Form 720).  Employers are still required to send </w:t>
                              </w:r>
                              <w:hyperlink r:id="rId22" w:history="1">
                                <w:r>
                                  <w:rPr>
                                    <w:rStyle w:val="Hyperlink"/>
                                    <w:rFonts w:ascii="Helvetica" w:hAnsi="Helvetica" w:cs="Helvetica"/>
                                    <w:sz w:val="17"/>
                                    <w:szCs w:val="17"/>
                                  </w:rPr>
                                  <w:t>Exchange notices</w:t>
                                </w:r>
                              </w:hyperlink>
                              <w:r>
                                <w:rPr>
                                  <w:rFonts w:ascii="Helvetica" w:hAnsi="Helvetica" w:cs="Helvetica"/>
                                  <w:color w:val="505050"/>
                                  <w:sz w:val="17"/>
                                  <w:szCs w:val="17"/>
                                </w:rPr>
                                <w:t xml:space="preserve"> to all employees (not just benefits eligible employees) by October 1, 2013 to inform them about the availability for Exchange Coverage.  The </w:t>
                              </w:r>
                              <w:hyperlink r:id="rId23" w:history="1">
                                <w:r>
                                  <w:rPr>
                                    <w:rStyle w:val="Hyperlink"/>
                                    <w:rFonts w:ascii="Helvetica" w:hAnsi="Helvetica" w:cs="Helvetica"/>
                                    <w:sz w:val="17"/>
                                    <w:szCs w:val="17"/>
                                  </w:rPr>
                                  <w:t>plan design mandates</w:t>
                                </w:r>
                              </w:hyperlink>
                              <w:r>
                                <w:rPr>
                                  <w:rFonts w:ascii="Helvetica" w:hAnsi="Helvetica" w:cs="Helvetica"/>
                                  <w:color w:val="505050"/>
                                  <w:sz w:val="17"/>
                                  <w:szCs w:val="17"/>
                                </w:rPr>
                                <w:t xml:space="preserve"> are all still scheduled to take effect for plan years beginning on or after January 1, 2014.  These are only a few examples of the provisions with effective dates around the corner.    </w:t>
                              </w:r>
                            </w:p>
                            <w:p w:rsidR="0076650B" w:rsidRDefault="0076650B">
                              <w:pPr>
                                <w:pStyle w:val="NormalWeb"/>
                                <w:spacing w:line="360" w:lineRule="auto"/>
                                <w:rPr>
                                  <w:rFonts w:ascii="Helvetica" w:hAnsi="Helvetica" w:cs="Helvetica"/>
                                  <w:color w:val="505050"/>
                                  <w:sz w:val="17"/>
                                  <w:szCs w:val="17"/>
                                </w:rPr>
                              </w:pPr>
                              <w:r>
                                <w:rPr>
                                  <w:rStyle w:val="Strong"/>
                                  <w:rFonts w:ascii="Helvetica" w:hAnsi="Helvetica" w:cs="Helvetica"/>
                                  <w:color w:val="505050"/>
                                  <w:sz w:val="17"/>
                                  <w:szCs w:val="17"/>
                                </w:rPr>
                                <w:t>What Does All of This Mean for Employers?</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 xml:space="preserve">From a practical standpoint, the delay in the reporting provides welcome relief because most employers do not currently capture all of the information that will be required to be reported.  In the absence of regulations, many were worried about whether they would have time to make necessary system changes before January 1, 2014.  Guidance on the reporting is expected this summer and the IRS is urging employers to go ahead </w:t>
                              </w:r>
                              <w:proofErr w:type="gramStart"/>
                              <w:r>
                                <w:rPr>
                                  <w:rFonts w:ascii="Helvetica" w:hAnsi="Helvetica" w:cs="Helvetica"/>
                                  <w:color w:val="505050"/>
                                  <w:sz w:val="17"/>
                                  <w:szCs w:val="17"/>
                                </w:rPr>
                                <w:t>and  implement</w:t>
                              </w:r>
                              <w:proofErr w:type="gramEnd"/>
                              <w:r>
                                <w:rPr>
                                  <w:rFonts w:ascii="Helvetica" w:hAnsi="Helvetica" w:cs="Helvetica"/>
                                  <w:color w:val="505050"/>
                                  <w:sz w:val="17"/>
                                  <w:szCs w:val="17"/>
                                </w:rPr>
                                <w:t xml:space="preserve"> the changes sooner rather than later in order to test whether their systems will do everything they need to do.  We expect to offer a system that will help capture this information, which we hope to announce to customers later this summer.</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In addition, the fact that the premium tax credits will still be available in 2014 means that employers will not completely avoid the Free Rider Penalty requirements.  For example, employers have to certify for employees who are applying for tax credits whether their coverage is adequate and affordable, which means employers will still need to understand and perform those calculations.  The fact that the individual mandate still takes effect in 2014 means that employers who were planning to offer coverage (perhaps an employee-pay-all option) to employees who are not currently eligible may still want to implement those plans.  Similarly, employers that were planning to add a minimum value plan in order to have a more affordable option available (and, therefore, limit the number of employees who might trigger a Free Rider Penalty due to coverage being unaffordable) may want to go ahead with those plans as well. </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 xml:space="preserve">Finally, it’s unclear whether any of the transition relief available to employers for the first year the Free Rider Penalty is effective will still be offered.  For example, employers were able to measure hours for variable hour employees for six months this first year, even if the </w:t>
                              </w:r>
                              <w:r>
                                <w:rPr>
                                  <w:rFonts w:ascii="Helvetica" w:hAnsi="Helvetica" w:cs="Helvetica"/>
                                  <w:color w:val="505050"/>
                                  <w:sz w:val="17"/>
                                  <w:szCs w:val="17"/>
                                </w:rPr>
                                <w:lastRenderedPageBreak/>
                                <w:t>employer planned to use a 12-month measurement and stability period going forward.  Now the employer will likely need to be prepared to capture hours for a full 12 months prior to the start of the 2015 plan year in order to avoid a penalty.  Hopefully, questions such as these will be answered in the anticipated IRS guidance.  We expect to offer a system to help employers track employee hours and coverage in connection with the Free Rider Penalty, which we hope to announce later this summer. </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While the natural tendency would be to take a breath and maybe put Free Rider Penalty planning on the back burner, we urge employers to continue their work.  In reality, this is a gift of time to work through the issues, make plans, implement them utilizing all best practices, update systems, identify affected employees, communicate plan changes, and test reporting.  Many of our customers were very concerned that they did not have time to perform all of those steps carefully and thoughtfully between now and their 2014 plan year.  Employers that do not continue to work through these issues will be in the same position next year.  American Fidelity is available to assist and is committed to providing resources and top quality customer service in connection with Health Care Reform.  Having said that, we want to continue making sure we have the capacity to serve our customers well and will not be able to guarantee our availability if employers delay until the last minute. </w:t>
                              </w:r>
                            </w:p>
                            <w:p w:rsidR="0076650B" w:rsidRDefault="0076650B">
                              <w:pPr>
                                <w:pStyle w:val="NormalWeb"/>
                                <w:spacing w:line="360" w:lineRule="auto"/>
                                <w:rPr>
                                  <w:rFonts w:ascii="Helvetica" w:hAnsi="Helvetica" w:cs="Helvetica"/>
                                  <w:color w:val="505050"/>
                                  <w:sz w:val="17"/>
                                  <w:szCs w:val="17"/>
                                </w:rPr>
                              </w:pPr>
                              <w:r>
                                <w:rPr>
                                  <w:rFonts w:ascii="Helvetica" w:hAnsi="Helvetica" w:cs="Helvetica"/>
                                  <w:color w:val="505050"/>
                                  <w:sz w:val="17"/>
                                  <w:szCs w:val="17"/>
                                </w:rPr>
                                <w:t xml:space="preserve">For more information, visit </w:t>
                              </w:r>
                              <w:hyperlink r:id="rId24" w:tgtFrame="_blank" w:history="1">
                                <w:r>
                                  <w:rPr>
                                    <w:rStyle w:val="Hyperlink"/>
                                    <w:rFonts w:ascii="Helvetica" w:hAnsi="Helvetica" w:cs="Helvetica"/>
                                    <w:sz w:val="17"/>
                                    <w:szCs w:val="17"/>
                                  </w:rPr>
                                  <w:t>HCReducation.com</w:t>
                                </w:r>
                              </w:hyperlink>
                              <w:r>
                                <w:rPr>
                                  <w:rFonts w:ascii="Helvetica" w:hAnsi="Helvetica" w:cs="Helvetica"/>
                                  <w:color w:val="505050"/>
                                  <w:sz w:val="17"/>
                                  <w:szCs w:val="17"/>
                                </w:rPr>
                                <w:t>.</w:t>
                              </w:r>
                            </w:p>
                          </w:tc>
                        </w:tr>
                      </w:tbl>
                      <w:p w:rsidR="0076650B" w:rsidRDefault="0076650B">
                        <w:pPr>
                          <w:rPr>
                            <w:rFonts w:eastAsia="Times New Roman"/>
                            <w:sz w:val="20"/>
                            <w:szCs w:val="20"/>
                          </w:rPr>
                        </w:pPr>
                      </w:p>
                    </w:tc>
                  </w:tr>
                </w:tbl>
                <w:p w:rsidR="0076650B" w:rsidRDefault="0076650B">
                  <w:pPr>
                    <w:jc w:val="center"/>
                    <w:rPr>
                      <w:rFonts w:eastAsia="Times New Roman"/>
                      <w:sz w:val="20"/>
                      <w:szCs w:val="20"/>
                    </w:rPr>
                  </w:pPr>
                </w:p>
              </w:tc>
            </w:tr>
          </w:tbl>
          <w:p w:rsidR="0076650B" w:rsidRDefault="0076650B">
            <w:pPr>
              <w:jc w:val="center"/>
              <w:rPr>
                <w:rFonts w:eastAsia="Times New Roman"/>
                <w:sz w:val="20"/>
                <w:szCs w:val="20"/>
              </w:rPr>
            </w:pPr>
          </w:p>
        </w:tc>
      </w:tr>
      <w:tr w:rsidR="0076650B" w:rsidTr="0076650B">
        <w:trPr>
          <w:tblCellSpacing w:w="0" w:type="dxa"/>
          <w:jc w:val="center"/>
        </w:trPr>
        <w:tc>
          <w:tcPr>
            <w:tcW w:w="0" w:type="auto"/>
            <w:tcBorders>
              <w:top w:val="nil"/>
              <w:left w:val="nil"/>
              <w:bottom w:val="nil"/>
              <w:right w:val="nil"/>
            </w:tcBorders>
            <w:shd w:val="clear" w:color="auto" w:fill="FFFFFF"/>
            <w:hideMark/>
          </w:tcPr>
          <w:tbl>
            <w:tblPr>
              <w:tblW w:w="5000" w:type="pct"/>
              <w:jc w:val="center"/>
              <w:tblCellSpacing w:w="0" w:type="dxa"/>
              <w:shd w:val="clear" w:color="auto" w:fill="FFFFFF"/>
              <w:tblCellMar>
                <w:left w:w="0" w:type="dxa"/>
                <w:right w:w="0" w:type="dxa"/>
              </w:tblCellMar>
              <w:tblLook w:val="04A0"/>
            </w:tblPr>
            <w:tblGrid>
              <w:gridCol w:w="9330"/>
            </w:tblGrid>
            <w:tr w:rsidR="0076650B">
              <w:trPr>
                <w:tblCellSpacing w:w="0" w:type="dxa"/>
                <w:jc w:val="center"/>
              </w:trPr>
              <w:tc>
                <w:tcPr>
                  <w:tcW w:w="5000" w:type="pct"/>
                  <w:shd w:val="clear" w:color="auto" w:fill="FFFFFF"/>
                  <w:tcMar>
                    <w:top w:w="120" w:type="dxa"/>
                    <w:left w:w="120" w:type="dxa"/>
                    <w:bottom w:w="120" w:type="dxa"/>
                    <w:right w:w="120" w:type="dxa"/>
                  </w:tcMar>
                </w:tcPr>
                <w:tbl>
                  <w:tblPr>
                    <w:tblW w:w="5000" w:type="pct"/>
                    <w:tblCellSpacing w:w="0" w:type="dxa"/>
                    <w:tblCellMar>
                      <w:left w:w="0" w:type="dxa"/>
                      <w:right w:w="0" w:type="dxa"/>
                    </w:tblCellMar>
                    <w:tblLook w:val="04A0"/>
                  </w:tblPr>
                  <w:tblGrid>
                    <w:gridCol w:w="9090"/>
                  </w:tblGrid>
                  <w:tr w:rsidR="0076650B">
                    <w:trPr>
                      <w:tblCellSpacing w:w="0" w:type="dxa"/>
                    </w:trPr>
                    <w:tc>
                      <w:tcPr>
                        <w:tcW w:w="6552" w:type="dxa"/>
                        <w:shd w:val="clear" w:color="auto" w:fill="E5E5E5"/>
                        <w:tcMar>
                          <w:top w:w="15" w:type="dxa"/>
                          <w:left w:w="15" w:type="dxa"/>
                          <w:bottom w:w="15" w:type="dxa"/>
                          <w:right w:w="15" w:type="dxa"/>
                        </w:tcMar>
                        <w:vAlign w:val="center"/>
                        <w:hideMark/>
                      </w:tcPr>
                      <w:tbl>
                        <w:tblPr>
                          <w:tblW w:w="0" w:type="dxa"/>
                          <w:jc w:val="center"/>
                          <w:tblCellSpacing w:w="0" w:type="dxa"/>
                          <w:tblCellMar>
                            <w:left w:w="0" w:type="dxa"/>
                            <w:right w:w="0" w:type="dxa"/>
                          </w:tblCellMar>
                          <w:tblLook w:val="04A0"/>
                        </w:tblPr>
                        <w:tblGrid>
                          <w:gridCol w:w="1757"/>
                          <w:gridCol w:w="1565"/>
                        </w:tblGrid>
                        <w:tr w:rsidR="0076650B">
                          <w:trPr>
                            <w:tblCellSpacing w:w="0" w:type="dxa"/>
                            <w:jc w:val="center"/>
                          </w:trPr>
                          <w:tc>
                            <w:tcPr>
                              <w:tcW w:w="0" w:type="auto"/>
                              <w:tcBorders>
                                <w:top w:val="nil"/>
                                <w:left w:val="nil"/>
                                <w:bottom w:val="nil"/>
                                <w:right w:val="single" w:sz="8" w:space="0" w:color="CCCCCC"/>
                              </w:tcBorders>
                              <w:tcMar>
                                <w:top w:w="60" w:type="dxa"/>
                                <w:left w:w="60" w:type="dxa"/>
                                <w:bottom w:w="60" w:type="dxa"/>
                                <w:right w:w="60" w:type="dxa"/>
                              </w:tcMar>
                              <w:vAlign w:val="center"/>
                              <w:hideMark/>
                            </w:tcPr>
                            <w:p w:rsidR="0076650B" w:rsidRDefault="0076650B">
                              <w:pPr>
                                <w:pStyle w:val="NormalWeb"/>
                                <w:spacing w:before="0" w:beforeAutospacing="0" w:after="0" w:afterAutospacing="0" w:line="300" w:lineRule="auto"/>
                                <w:jc w:val="right"/>
                                <w:textAlignment w:val="center"/>
                                <w:rPr>
                                  <w:rFonts w:ascii="Arial" w:hAnsi="Arial" w:cs="Arial"/>
                                  <w:color w:val="666666"/>
                                  <w:sz w:val="14"/>
                                  <w:szCs w:val="14"/>
                                </w:rPr>
                              </w:pPr>
                              <w:r>
                                <w:rPr>
                                  <w:rFonts w:ascii="Arial" w:hAnsi="Arial" w:cs="Arial"/>
                                  <w:noProof/>
                                  <w:color w:val="607890"/>
                                  <w:sz w:val="14"/>
                                  <w:szCs w:val="14"/>
                                </w:rPr>
                                <w:lastRenderedPageBreak/>
                                <w:drawing>
                                  <wp:inline distT="0" distB="0" distL="0" distR="0">
                                    <wp:extent cx="281940" cy="281940"/>
                                    <wp:effectExtent l="19050" t="0" r="3810" b="0"/>
                                    <wp:docPr id="6" name="Picture 6" descr="You Tub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u Tube"/>
                                            <pic:cNvPicPr>
                                              <a:picLocks noChangeAspect="1" noChangeArrowheads="1"/>
                                            </pic:cNvPicPr>
                                          </pic:nvPicPr>
                                          <pic:blipFill>
                                            <a:blip r:embed="rId26"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hyperlink r:id="rId27" w:tgtFrame="_blank" w:history="1">
                                <w:r>
                                  <w:rPr>
                                    <w:rStyle w:val="Hyperlink"/>
                                    <w:rFonts w:ascii="Arial" w:hAnsi="Arial" w:cs="Arial"/>
                                    <w:color w:val="607890"/>
                                    <w:sz w:val="14"/>
                                    <w:szCs w:val="14"/>
                                  </w:rPr>
                                  <w:t>watch on you tube</w:t>
                                </w:r>
                              </w:hyperlink>
                            </w:p>
                          </w:tc>
                          <w:tc>
                            <w:tcPr>
                              <w:tcW w:w="0" w:type="auto"/>
                              <w:tcMar>
                                <w:top w:w="60" w:type="dxa"/>
                                <w:left w:w="60" w:type="dxa"/>
                                <w:bottom w:w="60" w:type="dxa"/>
                                <w:right w:w="60" w:type="dxa"/>
                              </w:tcMar>
                              <w:vAlign w:val="center"/>
                              <w:hideMark/>
                            </w:tcPr>
                            <w:p w:rsidR="0076650B" w:rsidRDefault="0076650B">
                              <w:pPr>
                                <w:pStyle w:val="NormalWeb"/>
                                <w:spacing w:before="0" w:beforeAutospacing="0" w:after="0" w:afterAutospacing="0" w:line="300" w:lineRule="auto"/>
                                <w:jc w:val="right"/>
                                <w:textAlignment w:val="center"/>
                                <w:rPr>
                                  <w:rFonts w:ascii="Arial" w:hAnsi="Arial" w:cs="Arial"/>
                                  <w:color w:val="666666"/>
                                  <w:sz w:val="14"/>
                                  <w:szCs w:val="14"/>
                                </w:rPr>
                              </w:pPr>
                              <w:r>
                                <w:rPr>
                                  <w:rFonts w:ascii="Arial" w:hAnsi="Arial" w:cs="Arial"/>
                                  <w:noProof/>
                                  <w:color w:val="607890"/>
                                  <w:sz w:val="14"/>
                                  <w:szCs w:val="14"/>
                                </w:rPr>
                                <w:drawing>
                                  <wp:inline distT="0" distB="0" distL="0" distR="0">
                                    <wp:extent cx="281940" cy="281940"/>
                                    <wp:effectExtent l="19050" t="0" r="3810" b="0"/>
                                    <wp:docPr id="7" name="Picture 7" descr="@HCREducation">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CREducation"/>
                                            <pic:cNvPicPr>
                                              <a:picLocks noChangeAspect="1" noChangeArrowheads="1"/>
                                            </pic:cNvPicPr>
                                          </pic:nvPicPr>
                                          <pic:blipFill>
                                            <a:blip r:embed="rId29"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hyperlink r:id="rId30" w:history="1">
                                <w:r>
                                  <w:rPr>
                                    <w:rStyle w:val="Hyperlink"/>
                                    <w:rFonts w:ascii="Arial" w:hAnsi="Arial" w:cs="Arial"/>
                                    <w:color w:val="607890"/>
                                    <w:sz w:val="14"/>
                                    <w:szCs w:val="14"/>
                                  </w:rPr>
                                  <w:t>follow on twitter</w:t>
                                </w:r>
                              </w:hyperlink>
                            </w:p>
                          </w:tc>
                        </w:tr>
                      </w:tbl>
                      <w:p w:rsidR="0076650B" w:rsidRDefault="0076650B">
                        <w:pPr>
                          <w:jc w:val="center"/>
                          <w:rPr>
                            <w:rFonts w:eastAsia="Times New Roman"/>
                            <w:sz w:val="20"/>
                            <w:szCs w:val="20"/>
                          </w:rPr>
                        </w:pPr>
                      </w:p>
                    </w:tc>
                  </w:tr>
                </w:tbl>
                <w:p w:rsidR="0076650B" w:rsidRDefault="0076650B">
                  <w:pPr>
                    <w:rPr>
                      <w:vanish/>
                    </w:rPr>
                  </w:pPr>
                </w:p>
                <w:tbl>
                  <w:tblPr>
                    <w:tblW w:w="0" w:type="auto"/>
                    <w:tblCellSpacing w:w="60" w:type="dxa"/>
                    <w:tblCellMar>
                      <w:left w:w="0" w:type="dxa"/>
                      <w:right w:w="0" w:type="dxa"/>
                    </w:tblCellMar>
                    <w:tblLook w:val="04A0"/>
                  </w:tblPr>
                  <w:tblGrid>
                    <w:gridCol w:w="3540"/>
                    <w:gridCol w:w="3504"/>
                  </w:tblGrid>
                  <w:tr w:rsidR="0076650B">
                    <w:trPr>
                      <w:tblCellSpacing w:w="60" w:type="dxa"/>
                    </w:trPr>
                    <w:tc>
                      <w:tcPr>
                        <w:tcW w:w="3228" w:type="dxa"/>
                        <w:tcMar>
                          <w:top w:w="15" w:type="dxa"/>
                          <w:left w:w="15" w:type="dxa"/>
                          <w:bottom w:w="15" w:type="dxa"/>
                          <w:right w:w="15" w:type="dxa"/>
                        </w:tcMar>
                        <w:vAlign w:val="center"/>
                        <w:hideMark/>
                      </w:tcPr>
                      <w:p w:rsidR="0076650B" w:rsidRDefault="0076650B">
                        <w:r>
                          <w:rPr>
                            <w:noProof/>
                          </w:rPr>
                          <w:drawing>
                            <wp:inline distT="0" distB="0" distL="0" distR="0">
                              <wp:extent cx="2095500" cy="678180"/>
                              <wp:effectExtent l="19050" t="0" r="0" b="0"/>
                              <wp:docPr id="8" name="Picture 8" descr="American Fidel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merican Fidelity Logo"/>
                                      <pic:cNvPicPr>
                                        <a:picLocks noChangeAspect="1" noChangeArrowheads="1"/>
                                      </pic:cNvPicPr>
                                    </pic:nvPicPr>
                                    <pic:blipFill>
                                      <a:blip r:embed="rId31" cstate="print"/>
                                      <a:srcRect/>
                                      <a:stretch>
                                        <a:fillRect/>
                                      </a:stretch>
                                    </pic:blipFill>
                                    <pic:spPr bwMode="auto">
                                      <a:xfrm>
                                        <a:off x="0" y="0"/>
                                        <a:ext cx="2095500" cy="678180"/>
                                      </a:xfrm>
                                      <a:prstGeom prst="rect">
                                        <a:avLst/>
                                      </a:prstGeom>
                                      <a:noFill/>
                                      <a:ln w="9525">
                                        <a:noFill/>
                                        <a:miter lim="800000"/>
                                        <a:headEnd/>
                                        <a:tailEnd/>
                                      </a:ln>
                                    </pic:spPr>
                                  </pic:pic>
                                </a:graphicData>
                              </a:graphic>
                            </wp:inline>
                          </w:drawing>
                        </w:r>
                      </w:p>
                    </w:tc>
                    <w:tc>
                      <w:tcPr>
                        <w:tcW w:w="3324" w:type="dxa"/>
                        <w:tcMar>
                          <w:top w:w="15" w:type="dxa"/>
                          <w:left w:w="15" w:type="dxa"/>
                          <w:bottom w:w="15" w:type="dxa"/>
                          <w:right w:w="15" w:type="dxa"/>
                        </w:tcMar>
                        <w:vAlign w:val="center"/>
                        <w:hideMark/>
                      </w:tcPr>
                      <w:p w:rsidR="0076650B" w:rsidRDefault="0076650B">
                        <w:pPr>
                          <w:pStyle w:val="NormalWeb"/>
                          <w:spacing w:before="0" w:beforeAutospacing="0" w:after="0" w:afterAutospacing="0"/>
                          <w:jc w:val="right"/>
                          <w:rPr>
                            <w:color w:val="666666"/>
                            <w:sz w:val="19"/>
                            <w:szCs w:val="19"/>
                          </w:rPr>
                        </w:pPr>
                        <w:r>
                          <w:rPr>
                            <w:color w:val="666666"/>
                            <w:sz w:val="19"/>
                            <w:szCs w:val="19"/>
                          </w:rPr>
                          <w:t>American Fidelity Assurance Company</w:t>
                        </w:r>
                      </w:p>
                      <w:p w:rsidR="0076650B" w:rsidRDefault="0076650B">
                        <w:pPr>
                          <w:pStyle w:val="NormalWeb"/>
                          <w:spacing w:before="0" w:beforeAutospacing="0" w:after="0" w:afterAutospacing="0"/>
                          <w:jc w:val="right"/>
                          <w:rPr>
                            <w:color w:val="666666"/>
                            <w:sz w:val="19"/>
                            <w:szCs w:val="19"/>
                          </w:rPr>
                        </w:pPr>
                        <w:r>
                          <w:rPr>
                            <w:color w:val="666666"/>
                            <w:sz w:val="19"/>
                            <w:szCs w:val="19"/>
                          </w:rPr>
                          <w:t xml:space="preserve">2000 N. </w:t>
                        </w:r>
                        <w:proofErr w:type="spellStart"/>
                        <w:r>
                          <w:rPr>
                            <w:color w:val="666666"/>
                            <w:sz w:val="19"/>
                            <w:szCs w:val="19"/>
                          </w:rPr>
                          <w:t>Classen</w:t>
                        </w:r>
                        <w:proofErr w:type="spellEnd"/>
                        <w:r>
                          <w:rPr>
                            <w:color w:val="666666"/>
                            <w:sz w:val="19"/>
                            <w:szCs w:val="19"/>
                          </w:rPr>
                          <w:t xml:space="preserve"> Blvd.</w:t>
                        </w:r>
                      </w:p>
                      <w:p w:rsidR="0076650B" w:rsidRDefault="0076650B">
                        <w:pPr>
                          <w:pStyle w:val="NormalWeb"/>
                          <w:spacing w:before="0" w:beforeAutospacing="0" w:after="0" w:afterAutospacing="0"/>
                          <w:jc w:val="right"/>
                          <w:rPr>
                            <w:color w:val="666666"/>
                            <w:sz w:val="19"/>
                            <w:szCs w:val="19"/>
                          </w:rPr>
                        </w:pPr>
                        <w:r>
                          <w:rPr>
                            <w:color w:val="666666"/>
                            <w:sz w:val="19"/>
                            <w:szCs w:val="19"/>
                          </w:rPr>
                          <w:t>Oklahoma City, OK 73106</w:t>
                        </w:r>
                      </w:p>
                      <w:p w:rsidR="0076650B" w:rsidRDefault="0076650B">
                        <w:pPr>
                          <w:pStyle w:val="NormalWeb"/>
                          <w:spacing w:before="0" w:beforeAutospacing="0" w:after="0" w:afterAutospacing="0"/>
                          <w:jc w:val="right"/>
                          <w:rPr>
                            <w:color w:val="666666"/>
                            <w:sz w:val="19"/>
                            <w:szCs w:val="19"/>
                          </w:rPr>
                        </w:pPr>
                        <w:r>
                          <w:rPr>
                            <w:color w:val="666666"/>
                            <w:sz w:val="19"/>
                            <w:szCs w:val="19"/>
                          </w:rPr>
                          <w:t>877-302-5073</w:t>
                        </w:r>
                      </w:p>
                      <w:p w:rsidR="0076650B" w:rsidRDefault="0076650B">
                        <w:pPr>
                          <w:pStyle w:val="NormalWeb"/>
                          <w:spacing w:before="0" w:beforeAutospacing="0" w:after="0" w:afterAutospacing="0"/>
                          <w:jc w:val="right"/>
                          <w:rPr>
                            <w:color w:val="666666"/>
                            <w:sz w:val="19"/>
                            <w:szCs w:val="19"/>
                          </w:rPr>
                        </w:pPr>
                        <w:hyperlink r:id="rId32" w:tgtFrame="_blank" w:history="1">
                          <w:r>
                            <w:rPr>
                              <w:rStyle w:val="Hyperlink"/>
                              <w:color w:val="607890"/>
                              <w:sz w:val="19"/>
                              <w:szCs w:val="19"/>
                            </w:rPr>
                            <w:t>www.HCReducation.com</w:t>
                          </w:r>
                        </w:hyperlink>
                      </w:p>
                    </w:tc>
                  </w:tr>
                  <w:tr w:rsidR="0076650B">
                    <w:trPr>
                      <w:tblCellSpacing w:w="60" w:type="dxa"/>
                    </w:trPr>
                    <w:tc>
                      <w:tcPr>
                        <w:tcW w:w="0" w:type="auto"/>
                        <w:gridSpan w:val="2"/>
                        <w:tcMar>
                          <w:top w:w="15" w:type="dxa"/>
                          <w:left w:w="15" w:type="dxa"/>
                          <w:bottom w:w="15" w:type="dxa"/>
                          <w:right w:w="15" w:type="dxa"/>
                        </w:tcMar>
                        <w:vAlign w:val="center"/>
                        <w:hideMark/>
                      </w:tcPr>
                      <w:tbl>
                        <w:tblPr>
                          <w:tblW w:w="0" w:type="auto"/>
                          <w:jc w:val="center"/>
                          <w:tblCellSpacing w:w="18" w:type="dxa"/>
                          <w:tblCellMar>
                            <w:left w:w="0" w:type="dxa"/>
                            <w:right w:w="0" w:type="dxa"/>
                          </w:tblCellMar>
                          <w:tblLook w:val="04A0"/>
                        </w:tblPr>
                        <w:tblGrid>
                          <w:gridCol w:w="108"/>
                        </w:tblGrid>
                        <w:tr w:rsidR="0076650B">
                          <w:trPr>
                            <w:tblCellSpacing w:w="18" w:type="dxa"/>
                            <w:jc w:val="center"/>
                          </w:trPr>
                          <w:tc>
                            <w:tcPr>
                              <w:tcW w:w="0" w:type="auto"/>
                              <w:tcMar>
                                <w:top w:w="15" w:type="dxa"/>
                                <w:left w:w="15" w:type="dxa"/>
                                <w:bottom w:w="15" w:type="dxa"/>
                                <w:right w:w="15" w:type="dxa"/>
                              </w:tcMar>
                              <w:vAlign w:val="center"/>
                              <w:hideMark/>
                            </w:tcPr>
                            <w:p w:rsidR="0076650B" w:rsidRDefault="0076650B">
                              <w:pPr>
                                <w:pStyle w:val="NormalWeb"/>
                                <w:spacing w:line="300" w:lineRule="auto"/>
                                <w:rPr>
                                  <w:rFonts w:ascii="Helvetica" w:hAnsi="Helvetica" w:cs="Helvetica"/>
                                  <w:color w:val="707070"/>
                                  <w:sz w:val="14"/>
                                  <w:szCs w:val="14"/>
                                </w:rPr>
                              </w:pPr>
                            </w:p>
                          </w:tc>
                        </w:tr>
                      </w:tbl>
                      <w:p w:rsidR="0076650B" w:rsidRDefault="0076650B">
                        <w:pPr>
                          <w:jc w:val="center"/>
                          <w:rPr>
                            <w:rFonts w:eastAsia="Times New Roman"/>
                            <w:sz w:val="20"/>
                            <w:szCs w:val="20"/>
                          </w:rPr>
                        </w:pPr>
                      </w:p>
                    </w:tc>
                  </w:tr>
                </w:tbl>
                <w:p w:rsidR="0076650B" w:rsidRDefault="0076650B">
                  <w:pPr>
                    <w:rPr>
                      <w:rFonts w:eastAsia="Times New Roman"/>
                    </w:rPr>
                  </w:pPr>
                </w:p>
              </w:tc>
            </w:tr>
          </w:tbl>
          <w:p w:rsidR="0076650B" w:rsidRDefault="0076650B">
            <w:pPr>
              <w:jc w:val="center"/>
              <w:rPr>
                <w:rFonts w:eastAsia="Times New Roman"/>
                <w:sz w:val="20"/>
                <w:szCs w:val="20"/>
              </w:rPr>
            </w:pPr>
          </w:p>
        </w:tc>
      </w:tr>
    </w:tbl>
    <w:p w:rsidR="00D65EF9" w:rsidRDefault="00D65EF9"/>
    <w:sectPr w:rsidR="00D65EF9" w:rsidSect="00D65E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6650B"/>
    <w:rsid w:val="0076650B"/>
    <w:rsid w:val="00D65E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50B"/>
    <w:pPr>
      <w:spacing w:after="0" w:line="240" w:lineRule="auto"/>
    </w:pPr>
    <w:rPr>
      <w:rFonts w:ascii="Times New Roman" w:hAnsi="Times New Roman" w:cs="Times New Roman"/>
      <w:sz w:val="24"/>
      <w:szCs w:val="24"/>
    </w:rPr>
  </w:style>
  <w:style w:type="paragraph" w:styleId="Heading4">
    <w:name w:val="heading 4"/>
    <w:basedOn w:val="Normal"/>
    <w:link w:val="Heading4Char"/>
    <w:uiPriority w:val="9"/>
    <w:unhideWhenUsed/>
    <w:qFormat/>
    <w:rsid w:val="0076650B"/>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6650B"/>
    <w:rPr>
      <w:rFonts w:ascii="Times New Roman" w:hAnsi="Times New Roman" w:cs="Times New Roman"/>
      <w:b/>
      <w:bCs/>
      <w:sz w:val="24"/>
      <w:szCs w:val="24"/>
    </w:rPr>
  </w:style>
  <w:style w:type="character" w:styleId="Hyperlink">
    <w:name w:val="Hyperlink"/>
    <w:basedOn w:val="DefaultParagraphFont"/>
    <w:uiPriority w:val="99"/>
    <w:semiHidden/>
    <w:unhideWhenUsed/>
    <w:rsid w:val="0076650B"/>
    <w:rPr>
      <w:color w:val="0000FF"/>
      <w:u w:val="single"/>
    </w:rPr>
  </w:style>
  <w:style w:type="paragraph" w:styleId="NormalWeb">
    <w:name w:val="Normal (Web)"/>
    <w:basedOn w:val="Normal"/>
    <w:uiPriority w:val="99"/>
    <w:unhideWhenUsed/>
    <w:rsid w:val="0076650B"/>
    <w:pPr>
      <w:spacing w:before="100" w:beforeAutospacing="1" w:after="100" w:afterAutospacing="1"/>
    </w:pPr>
  </w:style>
  <w:style w:type="character" w:styleId="Strong">
    <w:name w:val="Strong"/>
    <w:basedOn w:val="DefaultParagraphFont"/>
    <w:uiPriority w:val="22"/>
    <w:qFormat/>
    <w:rsid w:val="0076650B"/>
    <w:rPr>
      <w:b/>
      <w:bCs/>
    </w:rPr>
  </w:style>
  <w:style w:type="paragraph" w:styleId="BalloonText">
    <w:name w:val="Balloon Text"/>
    <w:basedOn w:val="Normal"/>
    <w:link w:val="BalloonTextChar"/>
    <w:uiPriority w:val="99"/>
    <w:semiHidden/>
    <w:unhideWhenUsed/>
    <w:rsid w:val="0076650B"/>
    <w:rPr>
      <w:rFonts w:ascii="Tahoma" w:hAnsi="Tahoma" w:cs="Tahoma"/>
      <w:sz w:val="16"/>
      <w:szCs w:val="16"/>
    </w:rPr>
  </w:style>
  <w:style w:type="character" w:customStyle="1" w:styleId="BalloonTextChar">
    <w:name w:val="Balloon Text Char"/>
    <w:basedOn w:val="DefaultParagraphFont"/>
    <w:link w:val="BalloonText"/>
    <w:uiPriority w:val="99"/>
    <w:semiHidden/>
    <w:rsid w:val="007665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830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fadvantage.com/for-employers/health-care-reform/HCRDecision.aspx" TargetMode="External"/><Relationship Id="rId13" Type="http://schemas.openxmlformats.org/officeDocument/2006/relationships/hyperlink" Target="http://www.HCReducation.com" TargetMode="External"/><Relationship Id="rId18" Type="http://schemas.openxmlformats.org/officeDocument/2006/relationships/hyperlink" Target="http://www.afadvantage.com/for-employers/health-care-reform/plan-sponsorship-provisions/free-rider-penalty.aspx" TargetMode="External"/><Relationship Id="rId26" Type="http://schemas.openxmlformats.org/officeDocument/2006/relationships/image" Target="media/image6.png"/><Relationship Id="rId3" Type="http://schemas.openxmlformats.org/officeDocument/2006/relationships/webSettings" Target="webSettings.xml"/><Relationship Id="rId21" Type="http://schemas.openxmlformats.org/officeDocument/2006/relationships/hyperlink" Target="http://www.afadvantage.com/for-employers/health-care-reform/plan-sponsorship-provisions/pcori-fee.aspx" TargetMode="External"/><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hyperlink" Target="http://www.treasury.gov/connect/blog/Pages/Continuing-to-Implement-the-ACA-in-a-Careful-Thoughtful-Manner-.aspx" TargetMode="External"/><Relationship Id="rId25" Type="http://schemas.openxmlformats.org/officeDocument/2006/relationships/hyperlink" Target="http://www.youtube.com/watch?v=2mr-u7iQJHI&amp;feature=youtu.be"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jpeg"/><Relationship Id="rId20" Type="http://schemas.openxmlformats.org/officeDocument/2006/relationships/hyperlink" Target="http://www.afadvantage.com/for-employers/health-care-reform/plan-sponsorship-provisions/premium-tax-credit.aspx" TargetMode="External"/><Relationship Id="rId29" Type="http://schemas.openxmlformats.org/officeDocument/2006/relationships/image" Target="media/image7.png"/><Relationship Id="rId1" Type="http://schemas.openxmlformats.org/officeDocument/2006/relationships/styles" Target="styles.xml"/><Relationship Id="rId6" Type="http://schemas.openxmlformats.org/officeDocument/2006/relationships/hyperlink" Target="http://www.hcrdecision.com/" TargetMode="External"/><Relationship Id="rId11" Type="http://schemas.openxmlformats.org/officeDocument/2006/relationships/hyperlink" Target="http://www.afadvantage.com/for-employers/health-care-reform/hcrdecision/hcr-decision-overview.aspx" TargetMode="External"/><Relationship Id="rId24" Type="http://schemas.openxmlformats.org/officeDocument/2006/relationships/hyperlink" Target="http://www.HCReducation.com" TargetMode="External"/><Relationship Id="rId32" Type="http://schemas.openxmlformats.org/officeDocument/2006/relationships/hyperlink" Target="http://www.hcreducation.com" TargetMode="External"/><Relationship Id="rId5" Type="http://schemas.openxmlformats.org/officeDocument/2006/relationships/image" Target="media/image1.jpeg"/><Relationship Id="rId15" Type="http://schemas.openxmlformats.org/officeDocument/2006/relationships/hyperlink" Target="http://benefitsblog.americanfidelity.com/" TargetMode="External"/><Relationship Id="rId23" Type="http://schemas.openxmlformats.org/officeDocument/2006/relationships/hyperlink" Target="http://www.afadvantage.com/for-employers/health-care-reform/plan-design-mandates/2014-requirements.aspx" TargetMode="External"/><Relationship Id="rId28" Type="http://schemas.openxmlformats.org/officeDocument/2006/relationships/hyperlink" Target="https://twitter.com/HCReducation" TargetMode="External"/><Relationship Id="rId10" Type="http://schemas.openxmlformats.org/officeDocument/2006/relationships/image" Target="media/image3.png"/><Relationship Id="rId19" Type="http://schemas.openxmlformats.org/officeDocument/2006/relationships/hyperlink" Target="http://www.afadvantage.com/for-employers/health-care-reform/plan-sponsorship-provisions/health-insurance-exchanges.aspx" TargetMode="External"/><Relationship Id="rId31" Type="http://schemas.openxmlformats.org/officeDocument/2006/relationships/image" Target="media/image8.jpeg"/><Relationship Id="rId4" Type="http://schemas.openxmlformats.org/officeDocument/2006/relationships/hyperlink" Target="http://www.hcreducation.com/" TargetMode="External"/><Relationship Id="rId9" Type="http://schemas.openxmlformats.org/officeDocument/2006/relationships/hyperlink" Target="http://www.afadvantage.com/for-employers/health-care-reform/hcrdecision/hcr-decision-overview.aspx" TargetMode="External"/><Relationship Id="rId14" Type="http://schemas.openxmlformats.org/officeDocument/2006/relationships/hyperlink" Target="http://www.afadvantage.com/for-employers/health-care-reform/american-fidelity-services/vip-notification-service.aspx" TargetMode="External"/><Relationship Id="rId22" Type="http://schemas.openxmlformats.org/officeDocument/2006/relationships/hyperlink" Target="http://www.afadvantage.com/for-employers/health-care-reform/administrative-requirements/employee-education-for-new-hires.aspx" TargetMode="External"/><Relationship Id="rId27" Type="http://schemas.openxmlformats.org/officeDocument/2006/relationships/hyperlink" Target="http://youtu.be/2mr-u7iQJHI" TargetMode="External"/><Relationship Id="rId30" Type="http://schemas.openxmlformats.org/officeDocument/2006/relationships/hyperlink" Target="https://twitter.com/HCRedu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3</Pages>
  <Words>1177</Words>
  <Characters>6713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msander</dc:creator>
  <cp:lastModifiedBy>msander</cp:lastModifiedBy>
  <cp:revision>1</cp:revision>
  <dcterms:created xsi:type="dcterms:W3CDTF">2013-07-09T17:13:00Z</dcterms:created>
  <dcterms:modified xsi:type="dcterms:W3CDTF">2013-07-09T19:04:00Z</dcterms:modified>
</cp:coreProperties>
</file>